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10786"/>
      </w:tblGrid>
      <w:tr w:rsidR="00E23999" w14:paraId="4B62987B" w14:textId="77777777" w:rsidTr="0082470F">
        <w:trPr>
          <w:trHeight w:val="1402"/>
        </w:trPr>
        <w:tc>
          <w:tcPr>
            <w:tcW w:w="10786" w:type="dxa"/>
            <w:shd w:val="clear" w:color="auto" w:fill="9CC2E5" w:themeFill="accent1" w:themeFillTint="99"/>
          </w:tcPr>
          <w:p w14:paraId="25E6C510" w14:textId="77777777" w:rsidR="00E23999" w:rsidRDefault="00E23999" w:rsidP="008C183A">
            <w:pPr>
              <w:rPr>
                <w:sz w:val="28"/>
                <w:szCs w:val="28"/>
              </w:rPr>
            </w:pPr>
          </w:p>
          <w:p w14:paraId="2122B17C" w14:textId="77777777" w:rsidR="00E23999" w:rsidRPr="00F55781" w:rsidRDefault="00E23999" w:rsidP="00E23999">
            <w:pPr>
              <w:jc w:val="center"/>
              <w:rPr>
                <w:sz w:val="52"/>
                <w:szCs w:val="52"/>
              </w:rPr>
            </w:pPr>
            <w:r w:rsidRPr="00F55781">
              <w:rPr>
                <w:sz w:val="52"/>
                <w:szCs w:val="52"/>
              </w:rPr>
              <w:t>G</w:t>
            </w:r>
            <w:r w:rsidR="00F55781">
              <w:rPr>
                <w:sz w:val="52"/>
                <w:szCs w:val="52"/>
              </w:rPr>
              <w:t>uia</w:t>
            </w:r>
            <w:r w:rsidRPr="00F55781">
              <w:rPr>
                <w:sz w:val="52"/>
                <w:szCs w:val="52"/>
              </w:rPr>
              <w:t xml:space="preserve"> D</w:t>
            </w:r>
            <w:r w:rsidR="00F55781">
              <w:rPr>
                <w:sz w:val="52"/>
                <w:szCs w:val="52"/>
              </w:rPr>
              <w:t>el</w:t>
            </w:r>
            <w:r w:rsidRPr="00F55781">
              <w:rPr>
                <w:sz w:val="52"/>
                <w:szCs w:val="52"/>
              </w:rPr>
              <w:t xml:space="preserve"> U</w:t>
            </w:r>
            <w:r w:rsidR="00F55781">
              <w:rPr>
                <w:sz w:val="52"/>
                <w:szCs w:val="52"/>
              </w:rPr>
              <w:t>so</w:t>
            </w:r>
            <w:r w:rsidRPr="00F55781">
              <w:rPr>
                <w:sz w:val="52"/>
                <w:szCs w:val="52"/>
              </w:rPr>
              <w:t xml:space="preserve"> D</w:t>
            </w:r>
            <w:r w:rsidR="00F55781">
              <w:rPr>
                <w:sz w:val="52"/>
                <w:szCs w:val="52"/>
              </w:rPr>
              <w:t>e</w:t>
            </w:r>
            <w:r w:rsidRPr="00F55781">
              <w:rPr>
                <w:sz w:val="52"/>
                <w:szCs w:val="52"/>
              </w:rPr>
              <w:t xml:space="preserve"> L</w:t>
            </w:r>
            <w:r w:rsidR="00F55781">
              <w:rPr>
                <w:sz w:val="52"/>
                <w:szCs w:val="52"/>
              </w:rPr>
              <w:t>a</w:t>
            </w:r>
            <w:r w:rsidRPr="00F55781">
              <w:rPr>
                <w:sz w:val="52"/>
                <w:szCs w:val="52"/>
              </w:rPr>
              <w:t xml:space="preserve"> T</w:t>
            </w:r>
            <w:r w:rsidR="00F55781">
              <w:rPr>
                <w:sz w:val="52"/>
                <w:szCs w:val="52"/>
              </w:rPr>
              <w:t xml:space="preserve">arjeta </w:t>
            </w:r>
            <w:r w:rsidRPr="00F55781">
              <w:rPr>
                <w:sz w:val="52"/>
                <w:szCs w:val="52"/>
              </w:rPr>
              <w:t>D</w:t>
            </w:r>
            <w:r w:rsidR="00F55781">
              <w:rPr>
                <w:sz w:val="52"/>
                <w:szCs w:val="52"/>
              </w:rPr>
              <w:t>uke</w:t>
            </w:r>
            <w:r w:rsidRPr="00F55781">
              <w:rPr>
                <w:sz w:val="52"/>
                <w:szCs w:val="52"/>
              </w:rPr>
              <w:t xml:space="preserve"> C</w:t>
            </w:r>
            <w:r w:rsidR="00F55781">
              <w:rPr>
                <w:sz w:val="52"/>
                <w:szCs w:val="52"/>
              </w:rPr>
              <w:t>lin</w:t>
            </w:r>
            <w:r w:rsidRPr="00F55781">
              <w:rPr>
                <w:sz w:val="52"/>
                <w:szCs w:val="52"/>
              </w:rPr>
              <w:t>C</w:t>
            </w:r>
            <w:r w:rsidR="00F55781">
              <w:rPr>
                <w:sz w:val="52"/>
                <w:szCs w:val="52"/>
              </w:rPr>
              <w:t>ard</w:t>
            </w:r>
            <w:r w:rsidRPr="00F55781">
              <w:rPr>
                <w:sz w:val="52"/>
                <w:szCs w:val="52"/>
              </w:rPr>
              <w:t xml:space="preserve"> P</w:t>
            </w:r>
            <w:r w:rsidR="00F55781">
              <w:rPr>
                <w:sz w:val="52"/>
                <w:szCs w:val="52"/>
              </w:rPr>
              <w:t>ara El</w:t>
            </w:r>
            <w:r w:rsidRPr="00F55781">
              <w:rPr>
                <w:sz w:val="52"/>
                <w:szCs w:val="52"/>
              </w:rPr>
              <w:t xml:space="preserve"> P</w:t>
            </w:r>
            <w:r w:rsidR="00F55781">
              <w:rPr>
                <w:sz w:val="52"/>
                <w:szCs w:val="52"/>
              </w:rPr>
              <w:t>articipante De</w:t>
            </w:r>
            <w:r w:rsidRPr="00F55781">
              <w:rPr>
                <w:sz w:val="52"/>
                <w:szCs w:val="52"/>
              </w:rPr>
              <w:t xml:space="preserve"> E</w:t>
            </w:r>
            <w:r w:rsidR="00F55781">
              <w:rPr>
                <w:sz w:val="52"/>
                <w:szCs w:val="52"/>
              </w:rPr>
              <w:t>studios</w:t>
            </w:r>
            <w:r w:rsidRPr="00F55781">
              <w:rPr>
                <w:sz w:val="52"/>
                <w:szCs w:val="52"/>
              </w:rPr>
              <w:t xml:space="preserve"> D</w:t>
            </w:r>
            <w:r w:rsidR="00F55781">
              <w:rPr>
                <w:sz w:val="52"/>
                <w:szCs w:val="52"/>
              </w:rPr>
              <w:t>e</w:t>
            </w:r>
            <w:r w:rsidRPr="00F55781">
              <w:rPr>
                <w:sz w:val="52"/>
                <w:szCs w:val="52"/>
              </w:rPr>
              <w:t xml:space="preserve"> I</w:t>
            </w:r>
            <w:r w:rsidR="00F55781">
              <w:rPr>
                <w:sz w:val="52"/>
                <w:szCs w:val="52"/>
              </w:rPr>
              <w:t>nvestigaci</w:t>
            </w:r>
            <w:r w:rsidR="00490B87">
              <w:rPr>
                <w:sz w:val="52"/>
                <w:szCs w:val="52"/>
              </w:rPr>
              <w:t>ó</w:t>
            </w:r>
            <w:r w:rsidR="00F55781">
              <w:rPr>
                <w:sz w:val="52"/>
                <w:szCs w:val="52"/>
              </w:rPr>
              <w:t>n</w:t>
            </w:r>
          </w:p>
          <w:p w14:paraId="4AFF9E24" w14:textId="77777777" w:rsidR="00E23999" w:rsidRDefault="00E23999" w:rsidP="008C183A">
            <w:pPr>
              <w:rPr>
                <w:sz w:val="28"/>
                <w:szCs w:val="28"/>
              </w:rPr>
            </w:pPr>
          </w:p>
        </w:tc>
      </w:tr>
    </w:tbl>
    <w:p w14:paraId="20807283" w14:textId="77777777" w:rsidR="00EF0EED" w:rsidRDefault="00EF0EED" w:rsidP="00EF0EED">
      <w:pPr>
        <w:spacing w:after="0" w:line="276" w:lineRule="auto"/>
      </w:pPr>
    </w:p>
    <w:p w14:paraId="7AB5DE88" w14:textId="77777777" w:rsidR="00F55781" w:rsidRPr="0069673D" w:rsidRDefault="002342B0" w:rsidP="0069673D">
      <w:pPr>
        <w:spacing w:after="0" w:line="276" w:lineRule="auto"/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</w:pPr>
      <w:r w:rsidRPr="0069673D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>¿Cómo uso la tarjeta Duke</w:t>
      </w:r>
      <w:r w:rsidR="00CD2E7E" w:rsidRPr="0069673D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 xml:space="preserve"> </w:t>
      </w:r>
      <w:r w:rsidRPr="0069673D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>Clin</w:t>
      </w:r>
      <w:r w:rsidR="00284CC5" w:rsidRPr="0069673D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>C</w:t>
      </w:r>
      <w:r w:rsidRPr="0069673D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>ard?</w:t>
      </w:r>
    </w:p>
    <w:p w14:paraId="2E270A88" w14:textId="77777777" w:rsidR="00F55781" w:rsidRPr="00F55781" w:rsidRDefault="00F55781" w:rsidP="00F55781">
      <w:pPr>
        <w:pStyle w:val="ListParagraph"/>
        <w:spacing w:after="0" w:line="276" w:lineRule="auto"/>
        <w:ind w:left="0" w:hanging="540"/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16"/>
          <w:szCs w:val="16"/>
        </w:rPr>
      </w:pPr>
    </w:p>
    <w:p w14:paraId="2ACBD84D" w14:textId="77777777" w:rsidR="00F55781" w:rsidRDefault="002342B0" w:rsidP="00A44748">
      <w:pPr>
        <w:pStyle w:val="ListParagraph"/>
        <w:spacing w:after="0" w:line="276" w:lineRule="auto"/>
        <w:ind w:left="0"/>
        <w:rPr>
          <w:rFonts w:eastAsiaTheme="minorHAnsi" w:cstheme="minorHAnsi"/>
          <w:sz w:val="24"/>
          <w:szCs w:val="24"/>
        </w:rPr>
      </w:pPr>
      <w:r w:rsidRPr="00F55781">
        <w:rPr>
          <w:rFonts w:eastAsiaTheme="minorHAnsi" w:cstheme="minorHAnsi"/>
          <w:sz w:val="24"/>
          <w:szCs w:val="24"/>
        </w:rPr>
        <w:t>Su tarjeta Duke ClinCard se utiliza como cualquier otra tarjeta de Crédito/Débito</w:t>
      </w:r>
      <w:r w:rsidR="00F55781">
        <w:rPr>
          <w:rFonts w:eastAsiaTheme="minorHAnsi" w:cstheme="minorHAnsi"/>
          <w:sz w:val="24"/>
          <w:szCs w:val="24"/>
        </w:rPr>
        <w:t>.</w:t>
      </w:r>
    </w:p>
    <w:p w14:paraId="6935D418" w14:textId="77777777" w:rsidR="00A44748" w:rsidRPr="00EF0EED" w:rsidRDefault="00A44748" w:rsidP="00A44748">
      <w:pPr>
        <w:pStyle w:val="ListParagraph"/>
        <w:spacing w:after="0" w:line="276" w:lineRule="auto"/>
        <w:ind w:left="0"/>
        <w:rPr>
          <w:rFonts w:eastAsiaTheme="minorHAnsi" w:cstheme="minorHAnsi"/>
          <w:sz w:val="16"/>
          <w:szCs w:val="16"/>
        </w:rPr>
      </w:pPr>
    </w:p>
    <w:p w14:paraId="5116798E" w14:textId="77777777" w:rsidR="002342B0" w:rsidRPr="00EF0EED" w:rsidRDefault="002342B0" w:rsidP="00EF0EED">
      <w:pPr>
        <w:pStyle w:val="ListParagraph"/>
        <w:spacing w:after="0" w:line="276" w:lineRule="auto"/>
        <w:ind w:left="360" w:hanging="360"/>
        <w:rPr>
          <w:rFonts w:eastAsiaTheme="minorHAnsi" w:cstheme="minorHAnsi"/>
          <w:sz w:val="24"/>
          <w:szCs w:val="24"/>
        </w:rPr>
      </w:pPr>
      <w:r w:rsidRPr="00F55781">
        <w:rPr>
          <w:sz w:val="24"/>
          <w:szCs w:val="24"/>
        </w:rPr>
        <w:t xml:space="preserve">1) </w:t>
      </w:r>
      <w:r w:rsidRPr="00EF0EED">
        <w:rPr>
          <w:rFonts w:eastAsiaTheme="minorHAnsi" w:cstheme="minorHAnsi"/>
          <w:sz w:val="24"/>
          <w:szCs w:val="24"/>
        </w:rPr>
        <w:t xml:space="preserve">Compras en tiendas (seleccionando la opción </w:t>
      </w:r>
      <w:r w:rsidR="00490B87" w:rsidRPr="00EF0EED">
        <w:rPr>
          <w:rFonts w:eastAsiaTheme="minorHAnsi" w:cstheme="minorHAnsi"/>
          <w:sz w:val="24"/>
          <w:szCs w:val="24"/>
        </w:rPr>
        <w:t>“</w:t>
      </w:r>
      <w:r w:rsidRPr="00EF0EED">
        <w:rPr>
          <w:rFonts w:eastAsiaTheme="minorHAnsi" w:cstheme="minorHAnsi"/>
          <w:sz w:val="24"/>
          <w:szCs w:val="24"/>
        </w:rPr>
        <w:t>Crédito</w:t>
      </w:r>
      <w:r w:rsidR="00490B87" w:rsidRPr="00EF0EED">
        <w:rPr>
          <w:rFonts w:eastAsiaTheme="minorHAnsi" w:cstheme="minorHAnsi"/>
          <w:sz w:val="24"/>
          <w:szCs w:val="24"/>
        </w:rPr>
        <w:t>”</w:t>
      </w:r>
      <w:r w:rsidRPr="00EF0EED">
        <w:rPr>
          <w:rFonts w:eastAsiaTheme="minorHAnsi" w:cstheme="minorHAnsi"/>
          <w:sz w:val="24"/>
          <w:szCs w:val="24"/>
        </w:rPr>
        <w:t xml:space="preserve"> o </w:t>
      </w:r>
      <w:r w:rsidR="00490B87" w:rsidRPr="00EF0EED">
        <w:rPr>
          <w:rFonts w:eastAsiaTheme="minorHAnsi" w:cstheme="minorHAnsi"/>
          <w:sz w:val="24"/>
          <w:szCs w:val="24"/>
        </w:rPr>
        <w:t>“</w:t>
      </w:r>
      <w:r w:rsidRPr="00EF0EED">
        <w:rPr>
          <w:rFonts w:eastAsiaTheme="minorHAnsi" w:cstheme="minorHAnsi"/>
          <w:sz w:val="24"/>
          <w:szCs w:val="24"/>
        </w:rPr>
        <w:t>Débito</w:t>
      </w:r>
      <w:r w:rsidR="00490B87" w:rsidRPr="00EF0EED">
        <w:rPr>
          <w:rFonts w:eastAsiaTheme="minorHAnsi" w:cstheme="minorHAnsi"/>
          <w:sz w:val="24"/>
          <w:szCs w:val="24"/>
        </w:rPr>
        <w:t>”</w:t>
      </w:r>
      <w:r w:rsidRPr="00EF0EED">
        <w:rPr>
          <w:rFonts w:eastAsiaTheme="minorHAnsi" w:cstheme="minorHAnsi"/>
          <w:sz w:val="24"/>
          <w:szCs w:val="24"/>
        </w:rPr>
        <w:t>)</w:t>
      </w:r>
    </w:p>
    <w:p w14:paraId="66421872" w14:textId="77777777" w:rsidR="00A44748" w:rsidRPr="00EF0EED" w:rsidRDefault="002342B0" w:rsidP="00EF0EED">
      <w:pPr>
        <w:pStyle w:val="ListParagraph"/>
        <w:numPr>
          <w:ilvl w:val="0"/>
          <w:numId w:val="8"/>
        </w:numPr>
        <w:spacing w:after="0" w:line="276" w:lineRule="auto"/>
        <w:rPr>
          <w:rFonts w:eastAsiaTheme="minorHAnsi" w:cstheme="minorHAnsi"/>
          <w:sz w:val="24"/>
          <w:szCs w:val="24"/>
        </w:rPr>
      </w:pPr>
      <w:r w:rsidRPr="00EF0EED">
        <w:rPr>
          <w:rFonts w:eastAsiaTheme="minorHAnsi" w:cstheme="minorHAnsi"/>
          <w:sz w:val="24"/>
          <w:szCs w:val="24"/>
        </w:rPr>
        <w:t xml:space="preserve">El usar la opción débito require un PIN (vea </w:t>
      </w:r>
      <w:r w:rsidR="00284CC5" w:rsidRPr="00EF0EED">
        <w:rPr>
          <w:rFonts w:eastAsiaTheme="minorHAnsi" w:cstheme="minorHAnsi"/>
          <w:sz w:val="24"/>
          <w:szCs w:val="24"/>
        </w:rPr>
        <w:t>“Cómo configurar</w:t>
      </w:r>
      <w:r w:rsidRPr="00EF0EED">
        <w:rPr>
          <w:rFonts w:eastAsiaTheme="minorHAnsi" w:cstheme="minorHAnsi"/>
          <w:sz w:val="24"/>
          <w:szCs w:val="24"/>
        </w:rPr>
        <w:t xml:space="preserve"> un PIN</w:t>
      </w:r>
      <w:r w:rsidR="00284CC5" w:rsidRPr="00EF0EED">
        <w:rPr>
          <w:rFonts w:eastAsiaTheme="minorHAnsi" w:cstheme="minorHAnsi"/>
          <w:sz w:val="24"/>
          <w:szCs w:val="24"/>
        </w:rPr>
        <w:t>”</w:t>
      </w:r>
      <w:r w:rsidR="001E652F">
        <w:rPr>
          <w:rFonts w:eastAsiaTheme="minorHAnsi" w:cstheme="minorHAnsi"/>
          <w:sz w:val="24"/>
          <w:szCs w:val="24"/>
        </w:rPr>
        <w:t xml:space="preserve"> abajo</w:t>
      </w:r>
      <w:r w:rsidRPr="00EF0EED">
        <w:rPr>
          <w:rFonts w:eastAsiaTheme="minorHAnsi" w:cstheme="minorHAnsi"/>
          <w:sz w:val="24"/>
          <w:szCs w:val="24"/>
        </w:rPr>
        <w:t>)</w:t>
      </w:r>
    </w:p>
    <w:p w14:paraId="10B0C1C8" w14:textId="77777777" w:rsidR="002342B0" w:rsidRPr="00EF0EED" w:rsidRDefault="002342B0" w:rsidP="00EF0EED">
      <w:pPr>
        <w:pStyle w:val="ListParagraph"/>
        <w:spacing w:after="0" w:line="276" w:lineRule="auto"/>
        <w:ind w:left="360" w:hanging="360"/>
        <w:rPr>
          <w:rFonts w:eastAsiaTheme="minorHAnsi" w:cstheme="minorHAnsi"/>
          <w:sz w:val="24"/>
          <w:szCs w:val="24"/>
        </w:rPr>
      </w:pPr>
      <w:r w:rsidRPr="00EF0EED">
        <w:rPr>
          <w:rFonts w:eastAsiaTheme="minorHAnsi" w:cstheme="minorHAnsi"/>
          <w:sz w:val="24"/>
          <w:szCs w:val="24"/>
        </w:rPr>
        <w:t>2) Compras en línea: Ingrese el número de la ClinCard como lo haría con cualquier tarjeta de crédito</w:t>
      </w:r>
      <w:r w:rsidR="001E652F">
        <w:rPr>
          <w:rFonts w:eastAsiaTheme="minorHAnsi" w:cstheme="minorHAnsi"/>
          <w:sz w:val="24"/>
          <w:szCs w:val="24"/>
        </w:rPr>
        <w:t>.</w:t>
      </w:r>
    </w:p>
    <w:p w14:paraId="6806CC80" w14:textId="77777777" w:rsidR="002342B0" w:rsidRPr="00EF0EED" w:rsidRDefault="002342B0" w:rsidP="00EF0EED">
      <w:pPr>
        <w:pStyle w:val="ListParagraph"/>
        <w:spacing w:after="0" w:line="276" w:lineRule="auto"/>
        <w:ind w:left="360" w:hanging="360"/>
        <w:rPr>
          <w:rFonts w:eastAsiaTheme="minorHAnsi" w:cstheme="minorHAnsi"/>
          <w:sz w:val="24"/>
          <w:szCs w:val="24"/>
        </w:rPr>
      </w:pPr>
      <w:r w:rsidRPr="00EF0EED">
        <w:rPr>
          <w:rFonts w:eastAsiaTheme="minorHAnsi" w:cstheme="minorHAnsi"/>
          <w:sz w:val="24"/>
          <w:szCs w:val="24"/>
        </w:rPr>
        <w:t>3) Cajero automático para obtener efectivo (requi</w:t>
      </w:r>
      <w:r w:rsidR="00284CC5" w:rsidRPr="00EF0EED">
        <w:rPr>
          <w:rFonts w:eastAsiaTheme="minorHAnsi" w:cstheme="minorHAnsi"/>
          <w:sz w:val="24"/>
          <w:szCs w:val="24"/>
        </w:rPr>
        <w:t>e</w:t>
      </w:r>
      <w:r w:rsidRPr="00EF0EED">
        <w:rPr>
          <w:rFonts w:eastAsiaTheme="minorHAnsi" w:cstheme="minorHAnsi"/>
          <w:sz w:val="24"/>
          <w:szCs w:val="24"/>
        </w:rPr>
        <w:t xml:space="preserve">re </w:t>
      </w:r>
      <w:r w:rsidR="009D5D82" w:rsidRPr="00EF0EED">
        <w:rPr>
          <w:rFonts w:eastAsiaTheme="minorHAnsi" w:cstheme="minorHAnsi"/>
          <w:sz w:val="24"/>
          <w:szCs w:val="24"/>
        </w:rPr>
        <w:t>un PIN y se aplicarán</w:t>
      </w:r>
      <w:r w:rsidRPr="00EF0EED">
        <w:rPr>
          <w:rFonts w:eastAsiaTheme="minorHAnsi" w:cstheme="minorHAnsi"/>
          <w:sz w:val="24"/>
          <w:szCs w:val="24"/>
        </w:rPr>
        <w:t xml:space="preserve"> tarifas)</w:t>
      </w:r>
    </w:p>
    <w:p w14:paraId="67E04934" w14:textId="77777777" w:rsidR="009D5D82" w:rsidRPr="00EF0EED" w:rsidRDefault="009D5D82" w:rsidP="00EF0EED">
      <w:pPr>
        <w:pStyle w:val="ListParagraph"/>
        <w:spacing w:after="0" w:line="276" w:lineRule="auto"/>
        <w:ind w:left="360" w:hanging="360"/>
        <w:rPr>
          <w:rFonts w:eastAsiaTheme="minorHAnsi" w:cstheme="minorHAnsi"/>
          <w:sz w:val="24"/>
          <w:szCs w:val="24"/>
        </w:rPr>
      </w:pPr>
      <w:r w:rsidRPr="00EF0EED">
        <w:rPr>
          <w:rFonts w:eastAsiaTheme="minorHAnsi" w:cstheme="minorHAnsi"/>
          <w:sz w:val="24"/>
          <w:szCs w:val="24"/>
        </w:rPr>
        <w:t>4) Adelanto de efectivo en un banco:</w:t>
      </w:r>
    </w:p>
    <w:p w14:paraId="22652FA7" w14:textId="77777777" w:rsidR="009D5D82" w:rsidRPr="00EF0EED" w:rsidRDefault="009D5D82" w:rsidP="00EF0EED">
      <w:pPr>
        <w:pStyle w:val="ListParagraph"/>
        <w:numPr>
          <w:ilvl w:val="0"/>
          <w:numId w:val="8"/>
        </w:numPr>
        <w:spacing w:after="0" w:line="276" w:lineRule="auto"/>
        <w:rPr>
          <w:rFonts w:eastAsiaTheme="minorHAnsi" w:cstheme="minorHAnsi"/>
          <w:sz w:val="24"/>
          <w:szCs w:val="24"/>
        </w:rPr>
      </w:pPr>
      <w:r w:rsidRPr="00EF0EED">
        <w:rPr>
          <w:rFonts w:eastAsiaTheme="minorHAnsi" w:cstheme="minorHAnsi"/>
          <w:sz w:val="24"/>
          <w:szCs w:val="24"/>
        </w:rPr>
        <w:t xml:space="preserve">Usted debe conocer su saldo disponible y hacerle saber al cajero </w:t>
      </w:r>
      <w:r w:rsidR="00B34530" w:rsidRPr="00EF0EED">
        <w:rPr>
          <w:rFonts w:eastAsiaTheme="minorHAnsi" w:cstheme="minorHAnsi"/>
          <w:sz w:val="24"/>
          <w:szCs w:val="24"/>
        </w:rPr>
        <w:t>cuanto dinero desea retirar. Los cajeros no p</w:t>
      </w:r>
      <w:r w:rsidR="00284CC5" w:rsidRPr="00EF0EED">
        <w:rPr>
          <w:rFonts w:eastAsiaTheme="minorHAnsi" w:cstheme="minorHAnsi"/>
          <w:sz w:val="24"/>
          <w:szCs w:val="24"/>
        </w:rPr>
        <w:t>ueden consultar su saldo (vea “C</w:t>
      </w:r>
      <w:r w:rsidR="00B34530" w:rsidRPr="00EF0EED">
        <w:rPr>
          <w:rFonts w:eastAsiaTheme="minorHAnsi" w:cstheme="minorHAnsi"/>
          <w:sz w:val="24"/>
          <w:szCs w:val="24"/>
        </w:rPr>
        <w:t>ómo consultar su saldo” abajo)</w:t>
      </w:r>
      <w:r w:rsidR="00DE286D">
        <w:rPr>
          <w:rFonts w:eastAsiaTheme="minorHAnsi" w:cstheme="minorHAnsi"/>
          <w:sz w:val="24"/>
          <w:szCs w:val="24"/>
        </w:rPr>
        <w:t>.</w:t>
      </w:r>
    </w:p>
    <w:p w14:paraId="1EE1D264" w14:textId="77777777" w:rsidR="00B34530" w:rsidRPr="00EF0EED" w:rsidRDefault="00B34530" w:rsidP="00EF0EED">
      <w:pPr>
        <w:pStyle w:val="ListParagraph"/>
        <w:numPr>
          <w:ilvl w:val="0"/>
          <w:numId w:val="8"/>
        </w:numPr>
        <w:spacing w:after="0" w:line="276" w:lineRule="auto"/>
        <w:rPr>
          <w:rFonts w:eastAsiaTheme="minorHAnsi" w:cstheme="minorHAnsi"/>
          <w:sz w:val="24"/>
          <w:szCs w:val="24"/>
        </w:rPr>
      </w:pPr>
      <w:r w:rsidRPr="00EF0EED">
        <w:rPr>
          <w:rFonts w:eastAsiaTheme="minorHAnsi" w:cstheme="minorHAnsi"/>
          <w:sz w:val="24"/>
          <w:szCs w:val="24"/>
        </w:rPr>
        <w:t>Entréguele al cajero su tarjeta ClinCard firmada y un document</w:t>
      </w:r>
      <w:r w:rsidR="00284CC5" w:rsidRPr="00EF0EED">
        <w:rPr>
          <w:rFonts w:eastAsiaTheme="minorHAnsi" w:cstheme="minorHAnsi"/>
          <w:sz w:val="24"/>
          <w:szCs w:val="24"/>
        </w:rPr>
        <w:t>o</w:t>
      </w:r>
      <w:r w:rsidRPr="00EF0EED">
        <w:rPr>
          <w:rFonts w:eastAsiaTheme="minorHAnsi" w:cstheme="minorHAnsi"/>
          <w:sz w:val="24"/>
          <w:szCs w:val="24"/>
        </w:rPr>
        <w:t xml:space="preserve"> válido de identificación c</w:t>
      </w:r>
      <w:r w:rsidR="00DE286D">
        <w:rPr>
          <w:rFonts w:eastAsiaTheme="minorHAnsi" w:cstheme="minorHAnsi"/>
          <w:sz w:val="24"/>
          <w:szCs w:val="24"/>
        </w:rPr>
        <w:t>on foto emitido por el gobierno</w:t>
      </w:r>
    </w:p>
    <w:p w14:paraId="58510D0F" w14:textId="77777777" w:rsidR="00A44748" w:rsidRDefault="00B34530" w:rsidP="00EF0EED">
      <w:pPr>
        <w:pStyle w:val="ListParagraph"/>
        <w:numPr>
          <w:ilvl w:val="0"/>
          <w:numId w:val="8"/>
        </w:numPr>
        <w:spacing w:after="0" w:line="276" w:lineRule="auto"/>
        <w:rPr>
          <w:rFonts w:eastAsiaTheme="minorHAnsi" w:cstheme="minorHAnsi"/>
          <w:sz w:val="24"/>
          <w:szCs w:val="24"/>
        </w:rPr>
      </w:pPr>
      <w:r w:rsidRPr="00EF0EED">
        <w:rPr>
          <w:rFonts w:eastAsiaTheme="minorHAnsi" w:cstheme="minorHAnsi"/>
          <w:sz w:val="24"/>
          <w:szCs w:val="24"/>
        </w:rPr>
        <w:t>La tarjeta ClinCard es aceptada en todos los bancos miembros de Mastercard (busque el logo MC en la entrada del banco)</w:t>
      </w:r>
    </w:p>
    <w:p w14:paraId="386EE446" w14:textId="77777777" w:rsidR="00EF0EED" w:rsidRDefault="00EF0EED" w:rsidP="00EF0EED">
      <w:pPr>
        <w:spacing w:after="0" w:line="276" w:lineRule="auto"/>
        <w:ind w:left="360"/>
        <w:rPr>
          <w:rFonts w:eastAsiaTheme="minorHAnsi" w:cstheme="minorHAnsi"/>
          <w:sz w:val="16"/>
          <w:szCs w:val="16"/>
        </w:rPr>
      </w:pPr>
    </w:p>
    <w:p w14:paraId="11381385" w14:textId="77777777" w:rsidR="00DE286D" w:rsidRPr="00EF0EED" w:rsidRDefault="00DE286D" w:rsidP="00EF0EED">
      <w:pPr>
        <w:spacing w:after="0" w:line="276" w:lineRule="auto"/>
        <w:ind w:left="360"/>
        <w:rPr>
          <w:rFonts w:eastAsiaTheme="minorHAnsi" w:cstheme="minorHAnsi"/>
          <w:sz w:val="16"/>
          <w:szCs w:val="16"/>
        </w:rPr>
      </w:pPr>
    </w:p>
    <w:p w14:paraId="2F5190BC" w14:textId="77777777" w:rsidR="00A44748" w:rsidRPr="006446C7" w:rsidRDefault="00B34530" w:rsidP="006446C7">
      <w:pPr>
        <w:rPr>
          <w:sz w:val="24"/>
          <w:szCs w:val="24"/>
        </w:rPr>
      </w:pPr>
      <w:r w:rsidRPr="00A44748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>¿Cómo activo mi tarjeta Duke ClinCard?</w:t>
      </w:r>
    </w:p>
    <w:p w14:paraId="672A57B5" w14:textId="77777777" w:rsidR="00B34530" w:rsidRDefault="00284CC5" w:rsidP="006446C7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4"/>
          <w:szCs w:val="24"/>
        </w:rPr>
      </w:pPr>
      <w:r w:rsidRPr="00A44748">
        <w:rPr>
          <w:rFonts w:ascii="Calibri" w:eastAsiaTheme="minorHAnsi" w:hAnsi="Calibri" w:cs="Calibri"/>
          <w:sz w:val="24"/>
          <w:szCs w:val="24"/>
        </w:rPr>
        <w:t>Su tarjeta ClinCard se activa</w:t>
      </w:r>
      <w:r w:rsidR="00CD03BC" w:rsidRPr="00A44748">
        <w:rPr>
          <w:rFonts w:ascii="Calibri" w:eastAsiaTheme="minorHAnsi" w:hAnsi="Calibri" w:cs="Calibri"/>
          <w:sz w:val="24"/>
          <w:szCs w:val="24"/>
        </w:rPr>
        <w:t xml:space="preserve"> una vez que su primer pago se carga en la tarjeta. Por favor</w:t>
      </w:r>
      <w:r w:rsidRPr="00A44748">
        <w:rPr>
          <w:rFonts w:ascii="Calibri" w:eastAsiaTheme="minorHAnsi" w:hAnsi="Calibri" w:cs="Calibri"/>
          <w:sz w:val="24"/>
          <w:szCs w:val="24"/>
        </w:rPr>
        <w:t>,</w:t>
      </w:r>
      <w:r w:rsidR="00CD03BC" w:rsidRPr="00A44748">
        <w:rPr>
          <w:rFonts w:ascii="Calibri" w:eastAsiaTheme="minorHAnsi" w:hAnsi="Calibri" w:cs="Calibri"/>
          <w:sz w:val="24"/>
          <w:szCs w:val="24"/>
        </w:rPr>
        <w:t xml:space="preserve"> firme el reverso de la tarjeta y luego puede comenzar a usarla inmediatamente seleccionando la opción “crédito” en las tiendas o compras en línea. Si quiere usar la tarjeta en un cajero automático u obtener efectivo con la función débito, necesitará crear un PIN.</w:t>
      </w:r>
    </w:p>
    <w:p w14:paraId="5E73ABAB" w14:textId="77777777" w:rsidR="006446C7" w:rsidRDefault="006446C7" w:rsidP="006446C7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4"/>
          <w:szCs w:val="24"/>
        </w:rPr>
      </w:pPr>
    </w:p>
    <w:p w14:paraId="168DB510" w14:textId="77777777" w:rsidR="00DE286D" w:rsidRPr="00A44748" w:rsidRDefault="00DE286D" w:rsidP="006446C7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4"/>
          <w:szCs w:val="24"/>
        </w:rPr>
      </w:pPr>
    </w:p>
    <w:p w14:paraId="5567D68A" w14:textId="77777777" w:rsidR="00CD03BC" w:rsidRDefault="00284CC5" w:rsidP="00A44748">
      <w:pPr>
        <w:pStyle w:val="ListParagraph"/>
        <w:spacing w:after="0" w:line="276" w:lineRule="auto"/>
        <w:ind w:left="0"/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</w:pPr>
      <w:r w:rsidRPr="00A44748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>¿Cómo configuro</w:t>
      </w:r>
      <w:r w:rsidR="00CD03BC" w:rsidRPr="00A44748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 xml:space="preserve"> un PIN?</w:t>
      </w:r>
    </w:p>
    <w:p w14:paraId="0B9E6106" w14:textId="77777777" w:rsidR="00A44748" w:rsidRPr="00A44748" w:rsidRDefault="00A44748" w:rsidP="00A44748">
      <w:pPr>
        <w:pStyle w:val="ListParagraph"/>
        <w:spacing w:after="0" w:line="276" w:lineRule="auto"/>
        <w:ind w:left="0"/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16"/>
          <w:szCs w:val="16"/>
        </w:rPr>
      </w:pPr>
    </w:p>
    <w:p w14:paraId="55FCE471" w14:textId="77777777" w:rsidR="00CD03BC" w:rsidRPr="00A44748" w:rsidRDefault="00CD03BC">
      <w:pPr>
        <w:rPr>
          <w:rFonts w:ascii="Calibri" w:eastAsiaTheme="minorHAnsi" w:hAnsi="Calibri" w:cs="Calibri"/>
          <w:sz w:val="24"/>
          <w:szCs w:val="24"/>
        </w:rPr>
      </w:pPr>
      <w:r w:rsidRPr="00A44748">
        <w:rPr>
          <w:rFonts w:ascii="Calibri" w:eastAsiaTheme="minorHAnsi" w:hAnsi="Calibri" w:cs="Calibri"/>
          <w:sz w:val="24"/>
          <w:szCs w:val="24"/>
        </w:rPr>
        <w:t>Llame a Servicio al C</w:t>
      </w:r>
      <w:r w:rsidR="00284CC5" w:rsidRPr="00A44748">
        <w:rPr>
          <w:rFonts w:ascii="Calibri" w:eastAsiaTheme="minorHAnsi" w:hAnsi="Calibri" w:cs="Calibri"/>
          <w:sz w:val="24"/>
          <w:szCs w:val="24"/>
        </w:rPr>
        <w:t xml:space="preserve">liente al 1-866-952-3795 y siga </w:t>
      </w:r>
      <w:r w:rsidRPr="00A44748">
        <w:rPr>
          <w:rFonts w:ascii="Calibri" w:eastAsiaTheme="minorHAnsi" w:hAnsi="Calibri" w:cs="Calibri"/>
          <w:sz w:val="24"/>
          <w:szCs w:val="24"/>
        </w:rPr>
        <w:t>las i</w:t>
      </w:r>
      <w:r w:rsidR="004E3421" w:rsidRPr="00A44748">
        <w:rPr>
          <w:rFonts w:ascii="Calibri" w:eastAsiaTheme="minorHAnsi" w:hAnsi="Calibri" w:cs="Calibri"/>
          <w:sz w:val="24"/>
          <w:szCs w:val="24"/>
        </w:rPr>
        <w:t>nstrucciones del Sistema Interactivo de Respuestas de Voz (IVR)</w:t>
      </w:r>
      <w:r w:rsidR="00284CC5" w:rsidRPr="00A44748">
        <w:rPr>
          <w:rFonts w:ascii="Calibri" w:eastAsiaTheme="minorHAnsi" w:hAnsi="Calibri" w:cs="Calibri"/>
          <w:sz w:val="24"/>
          <w:szCs w:val="24"/>
        </w:rPr>
        <w:t>:</w:t>
      </w:r>
    </w:p>
    <w:p w14:paraId="61D4A4E8" w14:textId="77777777" w:rsidR="00600661" w:rsidRPr="006446C7" w:rsidRDefault="00600661" w:rsidP="006446C7">
      <w:pPr>
        <w:pStyle w:val="ListParagraph"/>
        <w:spacing w:after="0" w:line="276" w:lineRule="auto"/>
        <w:ind w:left="360" w:hanging="360"/>
        <w:rPr>
          <w:rFonts w:ascii="Calibri" w:eastAsiaTheme="minorHAnsi" w:hAnsi="Calibri" w:cs="Calibri"/>
          <w:sz w:val="24"/>
          <w:szCs w:val="24"/>
        </w:rPr>
      </w:pPr>
      <w:r>
        <w:t>1)</w:t>
      </w:r>
      <w:r w:rsidR="00284CC5">
        <w:t xml:space="preserve"> </w:t>
      </w:r>
      <w:r w:rsidRPr="006446C7">
        <w:rPr>
          <w:rFonts w:ascii="Calibri" w:eastAsiaTheme="minorHAnsi" w:hAnsi="Calibri" w:cs="Calibri"/>
          <w:sz w:val="24"/>
          <w:szCs w:val="24"/>
        </w:rPr>
        <w:t>Presione 1 para inglés o 2 para español</w:t>
      </w:r>
    </w:p>
    <w:p w14:paraId="35C73AAA" w14:textId="77777777" w:rsidR="00600661" w:rsidRPr="006446C7" w:rsidRDefault="00600661" w:rsidP="006446C7">
      <w:pPr>
        <w:pStyle w:val="ListParagraph"/>
        <w:spacing w:after="0" w:line="276" w:lineRule="auto"/>
        <w:ind w:left="360" w:hanging="360"/>
        <w:rPr>
          <w:rFonts w:ascii="Calibri" w:eastAsiaTheme="minorHAnsi" w:hAnsi="Calibri" w:cs="Calibri"/>
          <w:sz w:val="24"/>
          <w:szCs w:val="24"/>
        </w:rPr>
      </w:pPr>
      <w:r w:rsidRPr="006446C7">
        <w:rPr>
          <w:rFonts w:ascii="Calibri" w:eastAsiaTheme="minorHAnsi" w:hAnsi="Calibri" w:cs="Calibri"/>
          <w:sz w:val="24"/>
          <w:szCs w:val="24"/>
        </w:rPr>
        <w:t>2)</w:t>
      </w:r>
      <w:r w:rsidR="00284CC5" w:rsidRPr="006446C7">
        <w:rPr>
          <w:rFonts w:ascii="Calibri" w:eastAsiaTheme="minorHAnsi" w:hAnsi="Calibri" w:cs="Calibri"/>
          <w:sz w:val="24"/>
          <w:szCs w:val="24"/>
        </w:rPr>
        <w:t xml:space="preserve"> </w:t>
      </w:r>
      <w:r w:rsidRPr="006446C7">
        <w:rPr>
          <w:rFonts w:ascii="Calibri" w:eastAsiaTheme="minorHAnsi" w:hAnsi="Calibri" w:cs="Calibri"/>
          <w:sz w:val="24"/>
          <w:szCs w:val="24"/>
        </w:rPr>
        <w:t>Presione 2 (para activar la tarjeta y para información sobre la cuenta)</w:t>
      </w:r>
    </w:p>
    <w:p w14:paraId="37225231" w14:textId="77777777" w:rsidR="00600661" w:rsidRPr="006446C7" w:rsidRDefault="00600661" w:rsidP="006446C7">
      <w:pPr>
        <w:pStyle w:val="ListParagraph"/>
        <w:spacing w:after="0" w:line="276" w:lineRule="auto"/>
        <w:ind w:left="360" w:hanging="360"/>
        <w:rPr>
          <w:rFonts w:ascii="Calibri" w:eastAsiaTheme="minorHAnsi" w:hAnsi="Calibri" w:cs="Calibri"/>
          <w:sz w:val="24"/>
          <w:szCs w:val="24"/>
        </w:rPr>
      </w:pPr>
      <w:r w:rsidRPr="006446C7">
        <w:rPr>
          <w:rFonts w:ascii="Calibri" w:eastAsiaTheme="minorHAnsi" w:hAnsi="Calibri" w:cs="Calibri"/>
          <w:sz w:val="24"/>
          <w:szCs w:val="24"/>
        </w:rPr>
        <w:t>3)</w:t>
      </w:r>
      <w:r w:rsidR="00284CC5" w:rsidRPr="006446C7">
        <w:rPr>
          <w:rFonts w:ascii="Calibri" w:eastAsiaTheme="minorHAnsi" w:hAnsi="Calibri" w:cs="Calibri"/>
          <w:sz w:val="24"/>
          <w:szCs w:val="24"/>
        </w:rPr>
        <w:t xml:space="preserve"> </w:t>
      </w:r>
      <w:r w:rsidRPr="006446C7">
        <w:rPr>
          <w:rFonts w:ascii="Calibri" w:eastAsiaTheme="minorHAnsi" w:hAnsi="Calibri" w:cs="Calibri"/>
          <w:sz w:val="24"/>
          <w:szCs w:val="24"/>
        </w:rPr>
        <w:t xml:space="preserve">Ingrese los 16 números de la tarjeta y oprima el signo </w:t>
      </w:r>
      <w:r w:rsidR="00DE286D">
        <w:rPr>
          <w:rFonts w:ascii="Calibri" w:eastAsiaTheme="minorHAnsi" w:hAnsi="Calibri" w:cs="Calibri"/>
          <w:sz w:val="24"/>
          <w:szCs w:val="24"/>
        </w:rPr>
        <w:t>“</w:t>
      </w:r>
      <w:r w:rsidRPr="006446C7">
        <w:rPr>
          <w:rFonts w:ascii="Calibri" w:eastAsiaTheme="minorHAnsi" w:hAnsi="Calibri" w:cs="Calibri"/>
          <w:sz w:val="24"/>
          <w:szCs w:val="24"/>
        </w:rPr>
        <w:t>#</w:t>
      </w:r>
      <w:r w:rsidR="00DE286D">
        <w:rPr>
          <w:rFonts w:ascii="Calibri" w:eastAsiaTheme="minorHAnsi" w:hAnsi="Calibri" w:cs="Calibri"/>
          <w:sz w:val="24"/>
          <w:szCs w:val="24"/>
        </w:rPr>
        <w:t>”</w:t>
      </w:r>
    </w:p>
    <w:p w14:paraId="3AB7F1C0" w14:textId="77777777" w:rsidR="00600661" w:rsidRPr="006446C7" w:rsidRDefault="00600661" w:rsidP="006446C7">
      <w:pPr>
        <w:pStyle w:val="ListParagraph"/>
        <w:spacing w:after="0" w:line="276" w:lineRule="auto"/>
        <w:ind w:left="360" w:hanging="360"/>
        <w:rPr>
          <w:rFonts w:ascii="Calibri" w:eastAsiaTheme="minorHAnsi" w:hAnsi="Calibri" w:cs="Calibri"/>
          <w:sz w:val="24"/>
          <w:szCs w:val="24"/>
        </w:rPr>
      </w:pPr>
      <w:r w:rsidRPr="006446C7">
        <w:rPr>
          <w:rFonts w:ascii="Calibri" w:eastAsiaTheme="minorHAnsi" w:hAnsi="Calibri" w:cs="Calibri"/>
          <w:sz w:val="24"/>
          <w:szCs w:val="24"/>
        </w:rPr>
        <w:t>4) Ingrese los 3 números de seguri</w:t>
      </w:r>
      <w:r w:rsidR="00284CC5" w:rsidRPr="006446C7">
        <w:rPr>
          <w:rFonts w:ascii="Calibri" w:eastAsiaTheme="minorHAnsi" w:hAnsi="Calibri" w:cs="Calibri"/>
          <w:sz w:val="24"/>
          <w:szCs w:val="24"/>
        </w:rPr>
        <w:t>dad (se encuentran en el reverso</w:t>
      </w:r>
      <w:r w:rsidRPr="006446C7">
        <w:rPr>
          <w:rFonts w:ascii="Calibri" w:eastAsiaTheme="minorHAnsi" w:hAnsi="Calibri" w:cs="Calibri"/>
          <w:sz w:val="24"/>
          <w:szCs w:val="24"/>
        </w:rPr>
        <w:t xml:space="preserve"> de la tarje</w:t>
      </w:r>
      <w:r w:rsidR="00EF0EED">
        <w:rPr>
          <w:rFonts w:ascii="Calibri" w:eastAsiaTheme="minorHAnsi" w:hAnsi="Calibri" w:cs="Calibri"/>
          <w:sz w:val="24"/>
          <w:szCs w:val="24"/>
        </w:rPr>
        <w:t xml:space="preserve">ta) y oprima el </w:t>
      </w:r>
      <w:r w:rsidRPr="006446C7">
        <w:rPr>
          <w:rFonts w:ascii="Calibri" w:eastAsiaTheme="minorHAnsi" w:hAnsi="Calibri" w:cs="Calibri"/>
          <w:sz w:val="24"/>
          <w:szCs w:val="24"/>
        </w:rPr>
        <w:t xml:space="preserve">signo </w:t>
      </w:r>
      <w:r w:rsidR="00225D3F">
        <w:rPr>
          <w:rFonts w:ascii="Calibri" w:eastAsiaTheme="minorHAnsi" w:hAnsi="Calibri" w:cs="Calibri"/>
          <w:sz w:val="24"/>
          <w:szCs w:val="24"/>
        </w:rPr>
        <w:t>“</w:t>
      </w:r>
      <w:r w:rsidRPr="006446C7">
        <w:rPr>
          <w:rFonts w:ascii="Calibri" w:eastAsiaTheme="minorHAnsi" w:hAnsi="Calibri" w:cs="Calibri"/>
          <w:sz w:val="24"/>
          <w:szCs w:val="24"/>
        </w:rPr>
        <w:t>#</w:t>
      </w:r>
      <w:r w:rsidR="00225D3F">
        <w:rPr>
          <w:rFonts w:ascii="Calibri" w:eastAsiaTheme="minorHAnsi" w:hAnsi="Calibri" w:cs="Calibri"/>
          <w:sz w:val="24"/>
          <w:szCs w:val="24"/>
        </w:rPr>
        <w:t>”</w:t>
      </w:r>
    </w:p>
    <w:p w14:paraId="3DC22552" w14:textId="77777777" w:rsidR="00600661" w:rsidRPr="006446C7" w:rsidRDefault="00600661" w:rsidP="006446C7">
      <w:pPr>
        <w:pStyle w:val="ListParagraph"/>
        <w:spacing w:after="0" w:line="276" w:lineRule="auto"/>
        <w:ind w:left="360" w:hanging="360"/>
        <w:rPr>
          <w:rFonts w:ascii="Calibri" w:eastAsiaTheme="minorHAnsi" w:hAnsi="Calibri" w:cs="Calibri"/>
          <w:sz w:val="24"/>
          <w:szCs w:val="24"/>
        </w:rPr>
      </w:pPr>
      <w:r w:rsidRPr="006446C7">
        <w:rPr>
          <w:rFonts w:ascii="Calibri" w:eastAsiaTheme="minorHAnsi" w:hAnsi="Calibri" w:cs="Calibri"/>
          <w:sz w:val="24"/>
          <w:szCs w:val="24"/>
        </w:rPr>
        <w:t xml:space="preserve">5) Ingrese un PIN con 4 números de su elección y luego el signo </w:t>
      </w:r>
      <w:r w:rsidR="00225D3F">
        <w:rPr>
          <w:rFonts w:ascii="Calibri" w:eastAsiaTheme="minorHAnsi" w:hAnsi="Calibri" w:cs="Calibri"/>
          <w:sz w:val="24"/>
          <w:szCs w:val="24"/>
        </w:rPr>
        <w:t>“</w:t>
      </w:r>
      <w:r w:rsidRPr="006446C7">
        <w:rPr>
          <w:rFonts w:ascii="Calibri" w:eastAsiaTheme="minorHAnsi" w:hAnsi="Calibri" w:cs="Calibri"/>
          <w:sz w:val="24"/>
          <w:szCs w:val="24"/>
        </w:rPr>
        <w:t>#</w:t>
      </w:r>
      <w:r w:rsidR="00225D3F">
        <w:rPr>
          <w:rFonts w:ascii="Calibri" w:eastAsiaTheme="minorHAnsi" w:hAnsi="Calibri" w:cs="Calibri"/>
          <w:sz w:val="24"/>
          <w:szCs w:val="24"/>
        </w:rPr>
        <w:t>”</w:t>
      </w:r>
    </w:p>
    <w:p w14:paraId="5C1E9B12" w14:textId="77777777" w:rsidR="00EC56DA" w:rsidRPr="006446C7" w:rsidRDefault="00600661" w:rsidP="006446C7">
      <w:pPr>
        <w:pStyle w:val="ListParagraph"/>
        <w:spacing w:after="0" w:line="276" w:lineRule="auto"/>
        <w:ind w:left="360" w:hanging="360"/>
        <w:rPr>
          <w:rFonts w:ascii="Calibri" w:eastAsiaTheme="minorHAnsi" w:hAnsi="Calibri" w:cs="Calibri"/>
          <w:sz w:val="24"/>
          <w:szCs w:val="24"/>
        </w:rPr>
      </w:pPr>
      <w:r w:rsidRPr="006446C7">
        <w:rPr>
          <w:rFonts w:ascii="Calibri" w:eastAsiaTheme="minorHAnsi" w:hAnsi="Calibri" w:cs="Calibri"/>
          <w:sz w:val="24"/>
          <w:szCs w:val="24"/>
        </w:rPr>
        <w:t>6) Vuelva a ingresar esos 4 números de su PIN para confi</w:t>
      </w:r>
      <w:r w:rsidR="00EC56DA" w:rsidRPr="006446C7">
        <w:rPr>
          <w:rFonts w:ascii="Calibri" w:eastAsiaTheme="minorHAnsi" w:hAnsi="Calibri" w:cs="Calibri"/>
          <w:sz w:val="24"/>
          <w:szCs w:val="24"/>
        </w:rPr>
        <w:t xml:space="preserve">rmarlo y luego oprima el signo </w:t>
      </w:r>
      <w:r w:rsidR="00225D3F">
        <w:rPr>
          <w:rFonts w:ascii="Calibri" w:eastAsiaTheme="minorHAnsi" w:hAnsi="Calibri" w:cs="Calibri"/>
          <w:sz w:val="24"/>
          <w:szCs w:val="24"/>
        </w:rPr>
        <w:t>“</w:t>
      </w:r>
      <w:r w:rsidR="00EC56DA" w:rsidRPr="006446C7">
        <w:rPr>
          <w:rFonts w:ascii="Calibri" w:eastAsiaTheme="minorHAnsi" w:hAnsi="Calibri" w:cs="Calibri"/>
          <w:sz w:val="24"/>
          <w:szCs w:val="24"/>
        </w:rPr>
        <w:t>#</w:t>
      </w:r>
      <w:r w:rsidR="00225D3F">
        <w:rPr>
          <w:rFonts w:ascii="Calibri" w:eastAsiaTheme="minorHAnsi" w:hAnsi="Calibri" w:cs="Calibri"/>
          <w:sz w:val="24"/>
          <w:szCs w:val="24"/>
        </w:rPr>
        <w:t>”</w:t>
      </w:r>
    </w:p>
    <w:p w14:paraId="1D2FEB0A" w14:textId="77777777" w:rsidR="00600661" w:rsidRDefault="00600661"/>
    <w:p w14:paraId="5258AEE1" w14:textId="77777777" w:rsidR="00600661" w:rsidRPr="00A44748" w:rsidRDefault="00600661">
      <w:pPr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</w:pPr>
      <w:r w:rsidRPr="00A44748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lastRenderedPageBreak/>
        <w:t>¿Cómo verifico mi saldo</w:t>
      </w:r>
      <w:r w:rsidR="00284CC5" w:rsidRPr="00A44748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 xml:space="preserve"> disponible</w:t>
      </w:r>
      <w:r w:rsidRPr="00A44748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>?</w:t>
      </w:r>
    </w:p>
    <w:p w14:paraId="2F39DC2F" w14:textId="77777777" w:rsidR="00600661" w:rsidRPr="00772A09" w:rsidRDefault="00600661">
      <w:pPr>
        <w:rPr>
          <w:rFonts w:ascii="Calibri" w:eastAsiaTheme="minorHAnsi" w:hAnsi="Calibri" w:cs="Calibri"/>
          <w:color w:val="000000"/>
          <w:sz w:val="24"/>
          <w:szCs w:val="24"/>
        </w:rPr>
      </w:pPr>
      <w:r>
        <w:t>1)</w:t>
      </w:r>
      <w:r w:rsidR="00EC56DA">
        <w:t xml:space="preserve"> </w:t>
      </w:r>
      <w:r w:rsidRPr="00772A09">
        <w:rPr>
          <w:rFonts w:ascii="Calibri" w:eastAsiaTheme="minorHAnsi" w:hAnsi="Calibri" w:cs="Calibri"/>
          <w:color w:val="000000"/>
          <w:sz w:val="24"/>
          <w:szCs w:val="24"/>
        </w:rPr>
        <w:t>Llame al Servicio de Atención al Cliente al 1-866-952-3795 y siga las instrucciones del IVR</w:t>
      </w:r>
      <w:r w:rsidR="00772A09" w:rsidRPr="00772A09">
        <w:rPr>
          <w:rFonts w:ascii="Calibri" w:eastAsiaTheme="minorHAnsi" w:hAnsi="Calibri" w:cs="Calibri"/>
          <w:color w:val="000000"/>
          <w:sz w:val="24"/>
          <w:szCs w:val="24"/>
        </w:rPr>
        <w:t>:</w:t>
      </w:r>
    </w:p>
    <w:p w14:paraId="59C0C6DF" w14:textId="77777777" w:rsidR="00600661" w:rsidRPr="00772A09" w:rsidRDefault="00600661" w:rsidP="00772A09">
      <w:pPr>
        <w:pStyle w:val="ListParagraph"/>
        <w:numPr>
          <w:ilvl w:val="0"/>
          <w:numId w:val="10"/>
        </w:numPr>
        <w:rPr>
          <w:rFonts w:ascii="Calibri" w:eastAsiaTheme="minorHAnsi" w:hAnsi="Calibri" w:cs="Calibri"/>
          <w:color w:val="000000"/>
          <w:sz w:val="24"/>
          <w:szCs w:val="24"/>
        </w:rPr>
      </w:pPr>
      <w:r w:rsidRPr="00772A09">
        <w:rPr>
          <w:rFonts w:ascii="Calibri" w:eastAsiaTheme="minorHAnsi" w:hAnsi="Calibri" w:cs="Calibri"/>
          <w:color w:val="000000"/>
          <w:sz w:val="24"/>
          <w:szCs w:val="24"/>
        </w:rPr>
        <w:t>Presi</w:t>
      </w:r>
      <w:r w:rsidR="007D5637" w:rsidRPr="00772A09">
        <w:rPr>
          <w:rFonts w:ascii="Calibri" w:eastAsiaTheme="minorHAnsi" w:hAnsi="Calibri" w:cs="Calibri"/>
          <w:color w:val="000000"/>
          <w:sz w:val="24"/>
          <w:szCs w:val="24"/>
        </w:rPr>
        <w:t>one 2 (para activar la tarjeta e información de la cuenta)</w:t>
      </w:r>
    </w:p>
    <w:p w14:paraId="539A4402" w14:textId="77777777" w:rsidR="007D5637" w:rsidRPr="00772A09" w:rsidRDefault="007D5637" w:rsidP="00772A09">
      <w:pPr>
        <w:pStyle w:val="ListParagraph"/>
        <w:numPr>
          <w:ilvl w:val="0"/>
          <w:numId w:val="10"/>
        </w:numPr>
        <w:rPr>
          <w:rFonts w:ascii="Calibri" w:eastAsiaTheme="minorHAnsi" w:hAnsi="Calibri" w:cs="Calibri"/>
          <w:color w:val="000000"/>
          <w:sz w:val="24"/>
          <w:szCs w:val="24"/>
        </w:rPr>
      </w:pPr>
      <w:r w:rsidRPr="00772A09">
        <w:rPr>
          <w:rFonts w:ascii="Calibri" w:eastAsiaTheme="minorHAnsi" w:hAnsi="Calibri" w:cs="Calibri"/>
          <w:color w:val="000000"/>
          <w:sz w:val="24"/>
          <w:szCs w:val="24"/>
        </w:rPr>
        <w:t xml:space="preserve">Ingrese los 16 números y oprima el signo </w:t>
      </w:r>
      <w:r w:rsidR="00F76972">
        <w:rPr>
          <w:rFonts w:ascii="Calibri" w:eastAsiaTheme="minorHAnsi" w:hAnsi="Calibri" w:cs="Calibri"/>
          <w:color w:val="000000"/>
          <w:sz w:val="24"/>
          <w:szCs w:val="24"/>
        </w:rPr>
        <w:t>“</w:t>
      </w:r>
      <w:r w:rsidRPr="00772A09">
        <w:rPr>
          <w:rFonts w:ascii="Calibri" w:eastAsiaTheme="minorHAnsi" w:hAnsi="Calibri" w:cs="Calibri"/>
          <w:color w:val="000000"/>
          <w:sz w:val="24"/>
          <w:szCs w:val="24"/>
        </w:rPr>
        <w:t>#</w:t>
      </w:r>
      <w:r w:rsidR="00F76972">
        <w:rPr>
          <w:rFonts w:ascii="Calibri" w:eastAsiaTheme="minorHAnsi" w:hAnsi="Calibri" w:cs="Calibri"/>
          <w:color w:val="000000"/>
          <w:sz w:val="24"/>
          <w:szCs w:val="24"/>
        </w:rPr>
        <w:t>”</w:t>
      </w:r>
    </w:p>
    <w:p w14:paraId="602FE940" w14:textId="77777777" w:rsidR="007D5637" w:rsidRDefault="007D5637" w:rsidP="00772A09">
      <w:pPr>
        <w:pStyle w:val="ListParagraph"/>
        <w:numPr>
          <w:ilvl w:val="0"/>
          <w:numId w:val="10"/>
        </w:numPr>
        <w:rPr>
          <w:rFonts w:ascii="Calibri" w:eastAsiaTheme="minorHAnsi" w:hAnsi="Calibri" w:cs="Calibri"/>
          <w:color w:val="000000"/>
          <w:sz w:val="24"/>
          <w:szCs w:val="24"/>
        </w:rPr>
      </w:pPr>
      <w:r w:rsidRPr="00772A09">
        <w:rPr>
          <w:rFonts w:ascii="Calibri" w:eastAsiaTheme="minorHAnsi" w:hAnsi="Calibri" w:cs="Calibri"/>
          <w:color w:val="000000"/>
          <w:sz w:val="24"/>
          <w:szCs w:val="24"/>
        </w:rPr>
        <w:t xml:space="preserve">Ingrese el PIN de 4 números </w:t>
      </w:r>
      <w:r w:rsidR="00EC56DA" w:rsidRPr="00772A09">
        <w:rPr>
          <w:rFonts w:ascii="Calibri" w:eastAsiaTheme="minorHAnsi" w:hAnsi="Calibri" w:cs="Calibri"/>
          <w:color w:val="000000"/>
          <w:sz w:val="24"/>
          <w:szCs w:val="24"/>
        </w:rPr>
        <w:t xml:space="preserve">que usted seleccionó y oprima el signo </w:t>
      </w:r>
      <w:r w:rsidR="00F76972">
        <w:rPr>
          <w:rFonts w:ascii="Calibri" w:eastAsiaTheme="minorHAnsi" w:hAnsi="Calibri" w:cs="Calibri"/>
          <w:color w:val="000000"/>
          <w:sz w:val="24"/>
          <w:szCs w:val="24"/>
        </w:rPr>
        <w:t>“</w:t>
      </w:r>
      <w:r w:rsidR="00F76972" w:rsidRPr="00772A09">
        <w:rPr>
          <w:rFonts w:ascii="Calibri" w:eastAsiaTheme="minorHAnsi" w:hAnsi="Calibri" w:cs="Calibri"/>
          <w:color w:val="000000"/>
          <w:sz w:val="24"/>
          <w:szCs w:val="24"/>
        </w:rPr>
        <w:t>#</w:t>
      </w:r>
      <w:r w:rsidR="00F76972">
        <w:rPr>
          <w:rFonts w:ascii="Calibri" w:eastAsiaTheme="minorHAnsi" w:hAnsi="Calibri" w:cs="Calibri"/>
          <w:color w:val="000000"/>
          <w:sz w:val="24"/>
          <w:szCs w:val="24"/>
        </w:rPr>
        <w:t>”</w:t>
      </w:r>
    </w:p>
    <w:p w14:paraId="29142500" w14:textId="77777777" w:rsidR="00F76972" w:rsidRPr="00F76972" w:rsidRDefault="00F76972" w:rsidP="00772A09">
      <w:pPr>
        <w:pStyle w:val="ListParagraph"/>
        <w:spacing w:after="0" w:line="276" w:lineRule="auto"/>
        <w:ind w:left="360" w:hanging="360"/>
        <w:rPr>
          <w:sz w:val="16"/>
          <w:szCs w:val="16"/>
        </w:rPr>
      </w:pPr>
    </w:p>
    <w:p w14:paraId="04DC484C" w14:textId="77777777" w:rsidR="007C5186" w:rsidRDefault="00EC56DA" w:rsidP="001C4407">
      <w:pPr>
        <w:pStyle w:val="ListParagraph"/>
        <w:spacing w:after="0" w:line="276" w:lineRule="auto"/>
        <w:ind w:left="360" w:hanging="360"/>
        <w:rPr>
          <w:rFonts w:ascii="Calibri" w:eastAsiaTheme="minorHAnsi" w:hAnsi="Calibri" w:cs="Calibri"/>
          <w:b/>
          <w:i/>
          <w:color w:val="000000"/>
        </w:rPr>
      </w:pPr>
      <w:r>
        <w:t xml:space="preserve">2) </w:t>
      </w:r>
      <w:r w:rsidR="00030791" w:rsidRPr="00030791">
        <w:rPr>
          <w:rFonts w:ascii="Calibri" w:eastAsiaTheme="minorHAnsi" w:hAnsi="Calibri" w:cs="Calibri"/>
          <w:color w:val="000000"/>
        </w:rPr>
        <w:t>Consulte en MyClinCard.com - </w:t>
      </w:r>
      <w:r w:rsidR="00030791" w:rsidRPr="00030791">
        <w:rPr>
          <w:rFonts w:ascii="Calibri" w:eastAsiaTheme="minorHAnsi" w:hAnsi="Calibri" w:cs="Calibri"/>
          <w:b/>
          <w:i/>
          <w:color w:val="000000"/>
        </w:rPr>
        <w:t>Por favor tenga en cuenta que la página web MyClinCard.com solo está disponible en inglés</w:t>
      </w:r>
      <w:r w:rsidR="001C4407">
        <w:rPr>
          <w:rFonts w:ascii="Calibri" w:eastAsiaTheme="minorHAnsi" w:hAnsi="Calibri" w:cs="Calibri"/>
          <w:b/>
          <w:i/>
          <w:color w:val="000000"/>
        </w:rPr>
        <w:t>.</w:t>
      </w:r>
      <w:r w:rsidR="001C4407">
        <w:rPr>
          <w:rFonts w:ascii="Calibri" w:eastAsiaTheme="minorHAnsi" w:hAnsi="Calibri" w:cs="Calibri"/>
          <w:b/>
          <w:i/>
          <w:color w:val="000000"/>
        </w:rPr>
        <w:tab/>
      </w:r>
      <w:r w:rsidR="001C4407">
        <w:rPr>
          <w:rFonts w:ascii="Calibri" w:eastAsiaTheme="minorHAnsi" w:hAnsi="Calibri" w:cs="Calibri"/>
          <w:b/>
          <w:i/>
          <w:color w:val="000000"/>
        </w:rPr>
        <w:tab/>
      </w:r>
    </w:p>
    <w:p w14:paraId="11CE302D" w14:textId="77777777" w:rsidR="00EC56DA" w:rsidRPr="001C4407" w:rsidRDefault="007C5186" w:rsidP="001C4407">
      <w:pPr>
        <w:pStyle w:val="ListParagraph"/>
        <w:spacing w:after="0" w:line="276" w:lineRule="auto"/>
        <w:ind w:left="360" w:hanging="360"/>
        <w:rPr>
          <w:rFonts w:ascii="Calibri" w:eastAsiaTheme="minorHAnsi" w:hAnsi="Calibri" w:cs="Calibri"/>
          <w:b/>
          <w:i/>
          <w:color w:val="000000"/>
        </w:rPr>
      </w:pPr>
      <w:r>
        <w:rPr>
          <w:rFonts w:ascii="Calibri" w:eastAsiaTheme="minorHAnsi" w:hAnsi="Calibri" w:cs="Calibri"/>
          <w:b/>
          <w:i/>
          <w:color w:val="000000"/>
        </w:rPr>
        <w:t xml:space="preserve">     </w:t>
      </w:r>
      <w:r w:rsidR="00EC56DA" w:rsidRPr="001C4407">
        <w:rPr>
          <w:rFonts w:ascii="Calibri" w:eastAsiaTheme="minorHAnsi" w:hAnsi="Calibri" w:cs="Calibri"/>
          <w:color w:val="000000"/>
          <w:sz w:val="24"/>
          <w:szCs w:val="24"/>
        </w:rPr>
        <w:t xml:space="preserve">Busque en su servidor de internet la página </w:t>
      </w:r>
      <w:hyperlink r:id="rId8" w:history="1">
        <w:r w:rsidR="00EC56DA" w:rsidRPr="001C4407">
          <w:rPr>
            <w:rFonts w:ascii="Calibri" w:eastAsiaTheme="minorHAnsi" w:hAnsi="Calibri" w:cs="Calibri"/>
            <w:color w:val="000000"/>
            <w:sz w:val="24"/>
            <w:szCs w:val="24"/>
          </w:rPr>
          <w:t>www.myclincard.com</w:t>
        </w:r>
      </w:hyperlink>
    </w:p>
    <w:p w14:paraId="2E1AFA67" w14:textId="77777777" w:rsidR="00EC56DA" w:rsidRPr="00772A09" w:rsidRDefault="00284CC5" w:rsidP="00772A09">
      <w:pPr>
        <w:pStyle w:val="ListParagraph"/>
        <w:numPr>
          <w:ilvl w:val="0"/>
          <w:numId w:val="11"/>
        </w:numPr>
        <w:spacing w:after="0" w:line="276" w:lineRule="auto"/>
        <w:rPr>
          <w:rFonts w:ascii="Calibri" w:eastAsiaTheme="minorHAnsi" w:hAnsi="Calibri" w:cs="Calibri"/>
          <w:color w:val="000000"/>
          <w:sz w:val="24"/>
          <w:szCs w:val="24"/>
        </w:rPr>
      </w:pPr>
      <w:r w:rsidRPr="00772A09">
        <w:rPr>
          <w:rFonts w:ascii="Calibri" w:eastAsiaTheme="minorHAnsi" w:hAnsi="Calibri" w:cs="Calibri"/>
          <w:color w:val="000000"/>
          <w:sz w:val="24"/>
          <w:szCs w:val="24"/>
        </w:rPr>
        <w:t>Haga clic en el enlace “</w:t>
      </w:r>
      <w:r w:rsidR="001C4407" w:rsidRPr="00B51C5A">
        <w:rPr>
          <w:rFonts w:ascii="Calibri" w:hAnsi="Calibri" w:cs="Calibri"/>
          <w:color w:val="000000"/>
          <w:sz w:val="24"/>
          <w:szCs w:val="24"/>
        </w:rPr>
        <w:t>Register Account</w:t>
      </w:r>
      <w:r w:rsidR="00EC56DA" w:rsidRPr="00772A09">
        <w:rPr>
          <w:rFonts w:ascii="Calibri" w:eastAsiaTheme="minorHAnsi" w:hAnsi="Calibri" w:cs="Calibri"/>
          <w:color w:val="000000"/>
          <w:sz w:val="24"/>
          <w:szCs w:val="24"/>
        </w:rPr>
        <w:t>”</w:t>
      </w:r>
    </w:p>
    <w:p w14:paraId="5C0502E7" w14:textId="77777777" w:rsidR="00EC56DA" w:rsidRPr="00772A09" w:rsidRDefault="00EC56DA" w:rsidP="00772A09">
      <w:pPr>
        <w:pStyle w:val="ListParagraph"/>
        <w:numPr>
          <w:ilvl w:val="0"/>
          <w:numId w:val="11"/>
        </w:numPr>
        <w:spacing w:after="0" w:line="276" w:lineRule="auto"/>
        <w:rPr>
          <w:rFonts w:ascii="Calibri" w:eastAsiaTheme="minorHAnsi" w:hAnsi="Calibri" w:cs="Calibri"/>
          <w:color w:val="000000"/>
          <w:sz w:val="24"/>
          <w:szCs w:val="24"/>
        </w:rPr>
      </w:pPr>
      <w:r w:rsidRPr="00772A09">
        <w:rPr>
          <w:rFonts w:ascii="Calibri" w:eastAsiaTheme="minorHAnsi" w:hAnsi="Calibri" w:cs="Calibri"/>
          <w:color w:val="000000"/>
          <w:sz w:val="24"/>
          <w:szCs w:val="24"/>
        </w:rPr>
        <w:t xml:space="preserve">Ingrese los 16 números de la tarjeta, un nombre de usuario y clave de su elección y su </w:t>
      </w:r>
      <w:r w:rsidR="00772A09">
        <w:rPr>
          <w:rFonts w:ascii="Calibri" w:eastAsiaTheme="minorHAnsi" w:hAnsi="Calibri" w:cs="Calibri"/>
          <w:color w:val="000000"/>
          <w:sz w:val="24"/>
          <w:szCs w:val="24"/>
        </w:rPr>
        <w:t>dirección de correo electrónico</w:t>
      </w:r>
    </w:p>
    <w:p w14:paraId="474D4EAE" w14:textId="77777777" w:rsidR="00EC56DA" w:rsidRDefault="00284CC5" w:rsidP="00772A09">
      <w:pPr>
        <w:pStyle w:val="ListParagraph"/>
        <w:numPr>
          <w:ilvl w:val="0"/>
          <w:numId w:val="11"/>
        </w:numPr>
        <w:spacing w:after="0" w:line="276" w:lineRule="auto"/>
        <w:rPr>
          <w:rFonts w:ascii="Calibri" w:eastAsiaTheme="minorHAnsi" w:hAnsi="Calibri" w:cs="Calibri"/>
          <w:color w:val="000000"/>
          <w:sz w:val="24"/>
          <w:szCs w:val="24"/>
        </w:rPr>
      </w:pPr>
      <w:r w:rsidRPr="00772A09">
        <w:rPr>
          <w:rFonts w:ascii="Calibri" w:eastAsiaTheme="minorHAnsi" w:hAnsi="Calibri" w:cs="Calibri"/>
          <w:color w:val="000000"/>
          <w:sz w:val="24"/>
          <w:szCs w:val="24"/>
        </w:rPr>
        <w:t>Haga clic en el botón “</w:t>
      </w:r>
      <w:r w:rsidR="001C4407" w:rsidRPr="00B51C5A">
        <w:rPr>
          <w:rFonts w:ascii="Calibri" w:hAnsi="Calibri" w:cs="Calibri"/>
          <w:color w:val="000000"/>
          <w:sz w:val="24"/>
          <w:szCs w:val="24"/>
        </w:rPr>
        <w:t>Register Account</w:t>
      </w:r>
      <w:r w:rsidR="00EC56DA" w:rsidRPr="00772A09">
        <w:rPr>
          <w:rFonts w:ascii="Calibri" w:eastAsiaTheme="minorHAnsi" w:hAnsi="Calibri" w:cs="Calibri"/>
          <w:color w:val="000000"/>
          <w:sz w:val="24"/>
          <w:szCs w:val="24"/>
        </w:rPr>
        <w:t>”</w:t>
      </w:r>
    </w:p>
    <w:p w14:paraId="7BD03F3A" w14:textId="77777777" w:rsidR="00F76972" w:rsidRDefault="00F76972" w:rsidP="00772A09">
      <w:pPr>
        <w:pStyle w:val="ListParagraph"/>
        <w:spacing w:after="0" w:line="276" w:lineRule="auto"/>
        <w:ind w:left="360" w:hanging="360"/>
      </w:pPr>
    </w:p>
    <w:p w14:paraId="7F1681FD" w14:textId="77777777" w:rsidR="00EC56DA" w:rsidRDefault="00EC56DA" w:rsidP="00772A09">
      <w:pPr>
        <w:pStyle w:val="ListParagraph"/>
        <w:spacing w:after="0" w:line="276" w:lineRule="auto"/>
        <w:ind w:left="360" w:hanging="360"/>
      </w:pPr>
      <w:r>
        <w:t>3) Consulte su saldo en un cajero automático (requi</w:t>
      </w:r>
      <w:r w:rsidR="00284CC5">
        <w:t>e</w:t>
      </w:r>
      <w:r>
        <w:t>re PIN)</w:t>
      </w:r>
    </w:p>
    <w:p w14:paraId="1D85B2BC" w14:textId="77777777" w:rsidR="00F76972" w:rsidRPr="00F76972" w:rsidRDefault="00F76972" w:rsidP="00772A09">
      <w:pPr>
        <w:pStyle w:val="ListParagraph"/>
        <w:spacing w:after="0" w:line="276" w:lineRule="auto"/>
        <w:ind w:left="360" w:hanging="360"/>
        <w:rPr>
          <w:sz w:val="16"/>
          <w:szCs w:val="16"/>
        </w:rPr>
      </w:pPr>
    </w:p>
    <w:p w14:paraId="2D269876" w14:textId="77777777" w:rsidR="00EC56DA" w:rsidRDefault="00EC56DA">
      <w:r>
        <w:t>4) Pregunte sobre su balance en su próxima visita clínica</w:t>
      </w:r>
    </w:p>
    <w:p w14:paraId="3CB3A941" w14:textId="77777777" w:rsidR="00EC56DA" w:rsidRDefault="00EC56DA"/>
    <w:p w14:paraId="5370F9E7" w14:textId="77777777" w:rsidR="00EC56DA" w:rsidRPr="00A44748" w:rsidRDefault="00EC56DA">
      <w:pPr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</w:pPr>
      <w:r w:rsidRPr="00A44748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>¿Hay algún cargo por usar mi ClinCard?</w:t>
      </w:r>
    </w:p>
    <w:p w14:paraId="30300436" w14:textId="77777777" w:rsidR="00EC56DA" w:rsidRDefault="00EC56DA" w:rsidP="00652483">
      <w:pPr>
        <w:spacing w:after="0"/>
      </w:pPr>
      <w:r w:rsidRPr="00652483">
        <w:rPr>
          <w:b/>
          <w:i/>
        </w:rPr>
        <w:t>No hay cargos</w:t>
      </w:r>
      <w:r w:rsidR="00652483">
        <w:rPr>
          <w:b/>
          <w:i/>
        </w:rPr>
        <w:t>*</w:t>
      </w:r>
      <w:r>
        <w:t xml:space="preserve"> por:</w:t>
      </w:r>
    </w:p>
    <w:p w14:paraId="3D1E57AB" w14:textId="77777777" w:rsidR="00EC56DA" w:rsidRPr="00652483" w:rsidRDefault="00EC56DA" w:rsidP="00652483">
      <w:pPr>
        <w:pStyle w:val="ListParagraph"/>
        <w:autoSpaceDE w:val="0"/>
        <w:autoSpaceDN w:val="0"/>
        <w:adjustRightInd w:val="0"/>
        <w:spacing w:after="0" w:line="240" w:lineRule="auto"/>
        <w:ind w:hanging="360"/>
        <w:rPr>
          <w:rFonts w:eastAsiaTheme="minorHAnsi" w:cstheme="minorHAnsi"/>
          <w:color w:val="000000"/>
          <w:sz w:val="24"/>
          <w:szCs w:val="24"/>
        </w:rPr>
      </w:pPr>
      <w:r>
        <w:t xml:space="preserve">1) </w:t>
      </w:r>
      <w:r w:rsidRPr="00652483">
        <w:rPr>
          <w:rFonts w:eastAsiaTheme="minorHAnsi" w:cstheme="minorHAnsi"/>
          <w:color w:val="000000"/>
          <w:sz w:val="24"/>
          <w:szCs w:val="24"/>
        </w:rPr>
        <w:t>Hacer compras en línea o tiendas</w:t>
      </w:r>
    </w:p>
    <w:p w14:paraId="501622F9" w14:textId="77777777" w:rsidR="00EC56DA" w:rsidRPr="00652483" w:rsidRDefault="00EC56DA" w:rsidP="00652483">
      <w:pPr>
        <w:pStyle w:val="ListParagraph"/>
        <w:autoSpaceDE w:val="0"/>
        <w:autoSpaceDN w:val="0"/>
        <w:adjustRightInd w:val="0"/>
        <w:spacing w:after="0" w:line="240" w:lineRule="auto"/>
        <w:ind w:hanging="360"/>
        <w:rPr>
          <w:rFonts w:eastAsiaTheme="minorHAnsi" w:cstheme="minorHAnsi"/>
          <w:color w:val="000000"/>
          <w:sz w:val="24"/>
          <w:szCs w:val="24"/>
        </w:rPr>
      </w:pPr>
      <w:r w:rsidRPr="00652483">
        <w:rPr>
          <w:rFonts w:eastAsiaTheme="minorHAnsi" w:cstheme="minorHAnsi"/>
          <w:color w:val="000000"/>
          <w:sz w:val="24"/>
          <w:szCs w:val="24"/>
        </w:rPr>
        <w:t xml:space="preserve">2) Obtener efectivo al presentar la tarjeta al cajero de cualquiera de los </w:t>
      </w:r>
      <w:r w:rsidR="003F5FF9" w:rsidRPr="00652483">
        <w:rPr>
          <w:rFonts w:eastAsiaTheme="minorHAnsi" w:cstheme="minorHAnsi"/>
          <w:color w:val="000000"/>
          <w:sz w:val="24"/>
          <w:szCs w:val="24"/>
        </w:rPr>
        <w:t xml:space="preserve">bancos </w:t>
      </w:r>
      <w:r w:rsidRPr="00652483">
        <w:rPr>
          <w:rFonts w:eastAsiaTheme="minorHAnsi" w:cstheme="minorHAnsi"/>
          <w:color w:val="000000"/>
          <w:sz w:val="24"/>
          <w:szCs w:val="24"/>
        </w:rPr>
        <w:t>principal</w:t>
      </w:r>
      <w:r w:rsidR="00284CC5" w:rsidRPr="00652483">
        <w:rPr>
          <w:rFonts w:eastAsiaTheme="minorHAnsi" w:cstheme="minorHAnsi"/>
          <w:color w:val="000000"/>
          <w:sz w:val="24"/>
          <w:szCs w:val="24"/>
        </w:rPr>
        <w:t>e</w:t>
      </w:r>
      <w:r w:rsidRPr="00652483">
        <w:rPr>
          <w:rFonts w:eastAsiaTheme="minorHAnsi" w:cstheme="minorHAnsi"/>
          <w:color w:val="000000"/>
          <w:sz w:val="24"/>
          <w:szCs w:val="24"/>
        </w:rPr>
        <w:t xml:space="preserve">s </w:t>
      </w:r>
    </w:p>
    <w:p w14:paraId="7C487ADA" w14:textId="77777777" w:rsidR="00EC56DA" w:rsidRPr="00652483" w:rsidRDefault="00EC56DA" w:rsidP="00652483">
      <w:pPr>
        <w:pStyle w:val="ListParagraph"/>
        <w:autoSpaceDE w:val="0"/>
        <w:autoSpaceDN w:val="0"/>
        <w:adjustRightInd w:val="0"/>
        <w:spacing w:after="0" w:line="240" w:lineRule="auto"/>
        <w:ind w:hanging="360"/>
        <w:rPr>
          <w:rFonts w:eastAsiaTheme="minorHAnsi" w:cstheme="minorHAnsi"/>
          <w:color w:val="000000"/>
          <w:sz w:val="24"/>
          <w:szCs w:val="24"/>
        </w:rPr>
      </w:pPr>
      <w:r w:rsidRPr="00652483">
        <w:rPr>
          <w:rFonts w:eastAsiaTheme="minorHAnsi" w:cstheme="minorHAnsi"/>
          <w:color w:val="000000"/>
          <w:sz w:val="24"/>
          <w:szCs w:val="24"/>
        </w:rPr>
        <w:t xml:space="preserve">3) </w:t>
      </w:r>
      <w:r w:rsidR="005E420D" w:rsidRPr="00652483">
        <w:rPr>
          <w:rFonts w:eastAsiaTheme="minorHAnsi" w:cstheme="minorHAnsi"/>
          <w:color w:val="000000"/>
          <w:sz w:val="24"/>
          <w:szCs w:val="24"/>
        </w:rPr>
        <w:t>Llamar al Sistema Automático para controlar el saldo</w:t>
      </w:r>
    </w:p>
    <w:p w14:paraId="039DF995" w14:textId="77777777" w:rsidR="005E420D" w:rsidRPr="00652483" w:rsidRDefault="005E420D" w:rsidP="00652483">
      <w:pPr>
        <w:pStyle w:val="ListParagraph"/>
        <w:autoSpaceDE w:val="0"/>
        <w:autoSpaceDN w:val="0"/>
        <w:adjustRightInd w:val="0"/>
        <w:spacing w:after="0" w:line="240" w:lineRule="auto"/>
        <w:ind w:hanging="360"/>
        <w:rPr>
          <w:rFonts w:eastAsiaTheme="minorHAnsi" w:cstheme="minorHAnsi"/>
          <w:color w:val="000000"/>
          <w:sz w:val="24"/>
          <w:szCs w:val="24"/>
        </w:rPr>
      </w:pPr>
      <w:r w:rsidRPr="00652483">
        <w:rPr>
          <w:rFonts w:eastAsiaTheme="minorHAnsi" w:cstheme="minorHAnsi"/>
          <w:color w:val="000000"/>
          <w:sz w:val="24"/>
          <w:szCs w:val="24"/>
        </w:rPr>
        <w:t>4) Llamar al número de Servicios al Cliente y hablar con un agente</w:t>
      </w:r>
    </w:p>
    <w:p w14:paraId="5E7C6A52" w14:textId="77777777" w:rsidR="005E420D" w:rsidRDefault="005E420D" w:rsidP="00652483">
      <w:pPr>
        <w:pStyle w:val="ListParagraph"/>
        <w:autoSpaceDE w:val="0"/>
        <w:autoSpaceDN w:val="0"/>
        <w:adjustRightInd w:val="0"/>
        <w:spacing w:after="0" w:line="240" w:lineRule="auto"/>
        <w:ind w:hanging="360"/>
        <w:rPr>
          <w:rFonts w:eastAsiaTheme="minorHAnsi" w:cstheme="minorHAnsi"/>
          <w:color w:val="000000"/>
          <w:sz w:val="24"/>
          <w:szCs w:val="24"/>
        </w:rPr>
      </w:pPr>
      <w:r w:rsidRPr="00652483">
        <w:rPr>
          <w:rFonts w:eastAsiaTheme="minorHAnsi" w:cstheme="minorHAnsi"/>
          <w:color w:val="000000"/>
          <w:sz w:val="24"/>
          <w:szCs w:val="24"/>
        </w:rPr>
        <w:t>5) Agregar fondos a la tarjeta (Nota: los fondos solo pueden ser agregados a la tarjeta por personal del estudio)</w:t>
      </w:r>
    </w:p>
    <w:p w14:paraId="6607B789" w14:textId="77777777" w:rsidR="00652483" w:rsidRPr="00652483" w:rsidRDefault="00652483" w:rsidP="00652483">
      <w:pPr>
        <w:pStyle w:val="ListParagraph"/>
        <w:autoSpaceDE w:val="0"/>
        <w:autoSpaceDN w:val="0"/>
        <w:adjustRightInd w:val="0"/>
        <w:spacing w:after="0" w:line="240" w:lineRule="auto"/>
        <w:ind w:hanging="360"/>
        <w:rPr>
          <w:rFonts w:eastAsiaTheme="minorHAnsi" w:cstheme="minorHAnsi"/>
          <w:color w:val="000000"/>
          <w:sz w:val="24"/>
          <w:szCs w:val="24"/>
        </w:rPr>
      </w:pPr>
    </w:p>
    <w:p w14:paraId="5118E440" w14:textId="77777777" w:rsidR="00652483" w:rsidRPr="003D6F56" w:rsidRDefault="00E52297" w:rsidP="00652483">
      <w:pPr>
        <w:rPr>
          <w:i/>
          <w:sz w:val="24"/>
          <w:szCs w:val="24"/>
        </w:rPr>
      </w:pPr>
      <w:r w:rsidRPr="003D6F56">
        <w:rPr>
          <w:rFonts w:eastAsiaTheme="minorHAnsi" w:cstheme="minorHAnsi"/>
          <w:i/>
          <w:iCs/>
          <w:color w:val="000000"/>
          <w:sz w:val="24"/>
          <w:szCs w:val="24"/>
        </w:rPr>
        <w:t>Las siguientes actividades</w:t>
      </w:r>
      <w:r w:rsidRPr="00652483">
        <w:rPr>
          <w:i/>
        </w:rPr>
        <w:t xml:space="preserve"> </w:t>
      </w:r>
      <w:r w:rsidRPr="003D6F56">
        <w:rPr>
          <w:b/>
          <w:i/>
          <w:sz w:val="24"/>
          <w:szCs w:val="24"/>
        </w:rPr>
        <w:t>tendrán un cargo</w:t>
      </w:r>
      <w:r w:rsidR="00652483" w:rsidRPr="003D6F56">
        <w:rPr>
          <w:i/>
          <w:sz w:val="24"/>
          <w:szCs w:val="24"/>
        </w:rPr>
        <w:t>*</w:t>
      </w:r>
      <w:r w:rsidRPr="003D6F56">
        <w:rPr>
          <w:i/>
          <w:sz w:val="24"/>
          <w:szCs w:val="24"/>
        </w:rPr>
        <w:t xml:space="preserve"> al saldo de su tarjeta</w:t>
      </w:r>
      <w:r w:rsidR="00284CC5" w:rsidRPr="003D6F56">
        <w:rPr>
          <w:i/>
          <w:sz w:val="24"/>
          <w:szCs w:val="24"/>
        </w:rPr>
        <w:t xml:space="preserve"> ClinCard</w:t>
      </w:r>
      <w:r w:rsidR="003D6F56">
        <w:rPr>
          <w:i/>
          <w:sz w:val="24"/>
          <w:szCs w:val="24"/>
        </w:rPr>
        <w:t>:</w:t>
      </w:r>
    </w:p>
    <w:p w14:paraId="42F95127" w14:textId="77777777" w:rsidR="00E52297" w:rsidRPr="00071EC0" w:rsidRDefault="00E52297" w:rsidP="00071EC0">
      <w:pPr>
        <w:spacing w:after="0"/>
        <w:ind w:left="720"/>
        <w:rPr>
          <w:i/>
          <w:sz w:val="24"/>
          <w:szCs w:val="24"/>
        </w:rPr>
      </w:pPr>
      <w:r w:rsidRPr="00071EC0">
        <w:rPr>
          <w:sz w:val="24"/>
          <w:szCs w:val="24"/>
        </w:rPr>
        <w:t xml:space="preserve">1) Si la tarjeta no se utiliza o no se le agregan fondos en un lapso mayor a 3 meses, se aplicará un cargo mensual. Sin embargo, </w:t>
      </w:r>
      <w:r w:rsidR="00F81FB5" w:rsidRPr="00071EC0">
        <w:rPr>
          <w:sz w:val="24"/>
          <w:szCs w:val="24"/>
        </w:rPr>
        <w:t>si hay actividad en la tarjeta dentro de los 3 meses (se agregan fondos o se completa una transacción</w:t>
      </w:r>
      <w:r w:rsidR="007D5319" w:rsidRPr="00071EC0">
        <w:rPr>
          <w:sz w:val="24"/>
          <w:szCs w:val="24"/>
        </w:rPr>
        <w:t>)</w:t>
      </w:r>
      <w:r w:rsidR="00B83861" w:rsidRPr="00071EC0">
        <w:rPr>
          <w:sz w:val="24"/>
          <w:szCs w:val="24"/>
        </w:rPr>
        <w:t>, el período de meses se reiniciará</w:t>
      </w:r>
      <w:r w:rsidR="007D5319" w:rsidRPr="00071EC0">
        <w:rPr>
          <w:sz w:val="24"/>
          <w:szCs w:val="24"/>
        </w:rPr>
        <w:t>.</w:t>
      </w:r>
    </w:p>
    <w:p w14:paraId="71AB2034" w14:textId="77777777" w:rsidR="007D5319" w:rsidRPr="00071EC0" w:rsidRDefault="007D5319" w:rsidP="0069673D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 w:rsidRPr="00071EC0">
        <w:rPr>
          <w:sz w:val="24"/>
          <w:szCs w:val="24"/>
        </w:rPr>
        <w:t>Si se le aplican cargos m</w:t>
      </w:r>
      <w:r w:rsidR="0069673D" w:rsidRPr="00071EC0">
        <w:rPr>
          <w:sz w:val="24"/>
          <w:szCs w:val="24"/>
        </w:rPr>
        <w:t>ensuales, por favor contacte a Greenphire support</w:t>
      </w:r>
      <w:r w:rsidRPr="00071EC0">
        <w:rPr>
          <w:sz w:val="24"/>
          <w:szCs w:val="24"/>
        </w:rPr>
        <w:t xml:space="preserve"> y tal ve</w:t>
      </w:r>
      <w:r w:rsidR="00B83861" w:rsidRPr="00071EC0">
        <w:rPr>
          <w:sz w:val="24"/>
          <w:szCs w:val="24"/>
        </w:rPr>
        <w:t>z ellos puedan revertir ese</w:t>
      </w:r>
      <w:r w:rsidRPr="00071EC0">
        <w:rPr>
          <w:sz w:val="24"/>
          <w:szCs w:val="24"/>
        </w:rPr>
        <w:t xml:space="preserve"> cargo</w:t>
      </w:r>
      <w:r w:rsidR="00652483" w:rsidRPr="00071EC0">
        <w:rPr>
          <w:sz w:val="24"/>
          <w:szCs w:val="24"/>
        </w:rPr>
        <w:t>.</w:t>
      </w:r>
    </w:p>
    <w:p w14:paraId="4CFF5F54" w14:textId="77777777" w:rsidR="00071EC0" w:rsidRPr="00071EC0" w:rsidRDefault="003000D3" w:rsidP="00071EC0">
      <w:pPr>
        <w:spacing w:after="0"/>
        <w:rPr>
          <w:sz w:val="24"/>
          <w:szCs w:val="24"/>
        </w:rPr>
      </w:pPr>
      <w:r w:rsidRPr="00071EC0">
        <w:rPr>
          <w:sz w:val="24"/>
          <w:szCs w:val="24"/>
        </w:rPr>
        <w:t xml:space="preserve">        </w:t>
      </w:r>
      <w:r w:rsidR="00071EC0" w:rsidRPr="00071EC0">
        <w:rPr>
          <w:sz w:val="24"/>
          <w:szCs w:val="24"/>
        </w:rPr>
        <w:tab/>
      </w:r>
      <w:r w:rsidR="007D5319" w:rsidRPr="00071EC0">
        <w:rPr>
          <w:sz w:val="24"/>
          <w:szCs w:val="24"/>
        </w:rPr>
        <w:t>2) Extracciones en cajero automático (l</w:t>
      </w:r>
      <w:r w:rsidR="00B83861" w:rsidRPr="00071EC0">
        <w:rPr>
          <w:sz w:val="24"/>
          <w:szCs w:val="24"/>
        </w:rPr>
        <w:t>os cargos varían según el lugar)</w:t>
      </w:r>
    </w:p>
    <w:p w14:paraId="7BF8FDB1" w14:textId="77777777" w:rsidR="007D5319" w:rsidRPr="00071EC0" w:rsidRDefault="007D5319" w:rsidP="00071EC0">
      <w:pPr>
        <w:spacing w:after="0"/>
        <w:ind w:left="720"/>
        <w:rPr>
          <w:sz w:val="24"/>
          <w:szCs w:val="24"/>
        </w:rPr>
      </w:pPr>
      <w:r w:rsidRPr="00071EC0">
        <w:rPr>
          <w:sz w:val="24"/>
          <w:szCs w:val="24"/>
        </w:rPr>
        <w:t>3) Pedir un estado de cuenta impreso. En vez, usted puede siempre consultar</w:t>
      </w:r>
      <w:r w:rsidR="0069673D" w:rsidRPr="00071EC0">
        <w:rPr>
          <w:sz w:val="24"/>
          <w:szCs w:val="24"/>
        </w:rPr>
        <w:t xml:space="preserve"> su saldo disponible en línea o </w:t>
      </w:r>
      <w:r w:rsidRPr="00071EC0">
        <w:rPr>
          <w:sz w:val="24"/>
          <w:szCs w:val="24"/>
        </w:rPr>
        <w:t>llamando al Servicio al Cliente</w:t>
      </w:r>
    </w:p>
    <w:p w14:paraId="1A2969E3" w14:textId="77777777" w:rsidR="00680B61" w:rsidRPr="00071EC0" w:rsidRDefault="00B83861" w:rsidP="00071EC0">
      <w:pPr>
        <w:spacing w:after="0"/>
        <w:ind w:left="720"/>
        <w:rPr>
          <w:sz w:val="24"/>
          <w:szCs w:val="24"/>
        </w:rPr>
      </w:pPr>
      <w:r w:rsidRPr="00071EC0">
        <w:rPr>
          <w:sz w:val="24"/>
          <w:szCs w:val="24"/>
        </w:rPr>
        <w:t>4) Encontrará información adicional de cargos que pueden aplicar</w:t>
      </w:r>
      <w:r w:rsidR="00680B61" w:rsidRPr="00071EC0">
        <w:rPr>
          <w:sz w:val="24"/>
          <w:szCs w:val="24"/>
        </w:rPr>
        <w:t xml:space="preserve"> en la sección Pérdida/Robo/Daños</w:t>
      </w:r>
      <w:r w:rsidRPr="00071EC0">
        <w:rPr>
          <w:sz w:val="24"/>
          <w:szCs w:val="24"/>
        </w:rPr>
        <w:t xml:space="preserve"> que se encuentra abajo.</w:t>
      </w:r>
    </w:p>
    <w:p w14:paraId="41CFE33C" w14:textId="77777777" w:rsidR="0069673D" w:rsidRPr="0069673D" w:rsidRDefault="0069673D" w:rsidP="0069673D">
      <w:pPr>
        <w:spacing w:after="0"/>
        <w:rPr>
          <w:sz w:val="16"/>
          <w:szCs w:val="16"/>
        </w:rPr>
      </w:pPr>
    </w:p>
    <w:p w14:paraId="5F4D505C" w14:textId="77777777" w:rsidR="00680B61" w:rsidRPr="003000D3" w:rsidRDefault="00680B61" w:rsidP="003000D3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bCs/>
          <w:i/>
          <w:iCs/>
          <w:color w:val="000000"/>
          <w:sz w:val="24"/>
          <w:szCs w:val="24"/>
        </w:rPr>
      </w:pPr>
      <w:r w:rsidRPr="003000D3">
        <w:rPr>
          <w:rFonts w:eastAsiaTheme="minorHAnsi" w:cstheme="minorHAnsi"/>
          <w:b/>
          <w:bCs/>
          <w:i/>
          <w:iCs/>
          <w:color w:val="000000"/>
          <w:sz w:val="24"/>
          <w:szCs w:val="24"/>
        </w:rPr>
        <w:t>* Consulte Términos y Condiciones para obtener información adicional</w:t>
      </w:r>
      <w:r w:rsidR="00936263">
        <w:rPr>
          <w:rFonts w:eastAsiaTheme="minorHAnsi" w:cstheme="minorHAnsi"/>
          <w:b/>
          <w:bCs/>
          <w:i/>
          <w:iCs/>
          <w:color w:val="000000"/>
          <w:sz w:val="24"/>
          <w:szCs w:val="24"/>
        </w:rPr>
        <w:t>.</w:t>
      </w:r>
      <w:r w:rsidRPr="003000D3">
        <w:rPr>
          <w:rFonts w:eastAsia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</w:p>
    <w:p w14:paraId="3410B1EA" w14:textId="77777777" w:rsidR="00A35BE7" w:rsidRDefault="00A35BE7"/>
    <w:p w14:paraId="7F862556" w14:textId="77777777" w:rsidR="00A35BE7" w:rsidRPr="00A44748" w:rsidRDefault="00B83861" w:rsidP="00A35BE7">
      <w:pPr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</w:pPr>
      <w:r w:rsidRPr="00A44748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lastRenderedPageBreak/>
        <w:t>¿</w:t>
      </w:r>
      <w:r w:rsidR="00A35BE7" w:rsidRPr="00A44748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>Cúando puedo esperar que el pago por una visita de un estudio de investigación se cargue en mi ClinCard?</w:t>
      </w:r>
    </w:p>
    <w:p w14:paraId="58535172" w14:textId="77777777" w:rsidR="00A35BE7" w:rsidRDefault="00A35BE7" w:rsidP="00BE40F4">
      <w:pPr>
        <w:pStyle w:val="ListParagraph"/>
        <w:numPr>
          <w:ilvl w:val="0"/>
          <w:numId w:val="12"/>
        </w:numPr>
      </w:pPr>
      <w:r>
        <w:t>El calendario de pagos por la participación será determinado por el equipo del estudio e incluído en el consentimiento informado</w:t>
      </w:r>
      <w:r w:rsidR="00936263">
        <w:t>.</w:t>
      </w:r>
    </w:p>
    <w:p w14:paraId="0F687056" w14:textId="77777777" w:rsidR="00A35BE7" w:rsidRDefault="00A35BE7" w:rsidP="00BE40F4">
      <w:pPr>
        <w:pStyle w:val="ListParagraph"/>
        <w:numPr>
          <w:ilvl w:val="0"/>
          <w:numId w:val="12"/>
        </w:numPr>
      </w:pPr>
      <w:r>
        <w:t xml:space="preserve">Después de que haya alcanzado cada uno de los pagos pautados, el equipo del estudio procesará el pedido para que se efectue su pago. </w:t>
      </w:r>
    </w:p>
    <w:p w14:paraId="34AA58A0" w14:textId="77777777" w:rsidR="00BE40F4" w:rsidRDefault="00A35BE7" w:rsidP="00A35BE7">
      <w:pPr>
        <w:pStyle w:val="ListParagraph"/>
        <w:numPr>
          <w:ilvl w:val="0"/>
          <w:numId w:val="12"/>
        </w:numPr>
      </w:pPr>
      <w:r>
        <w:t>Una vez que se apruebe la fecha para su pago, recibirá un correo electrónico/mensaje de texto notificándole que el pago por su participación ha sido acreditado a su tarjeta.</w:t>
      </w:r>
    </w:p>
    <w:p w14:paraId="0616D39C" w14:textId="77777777" w:rsidR="00BE6BC6" w:rsidRDefault="00B83861" w:rsidP="00A35BE7">
      <w:pPr>
        <w:pStyle w:val="ListParagraph"/>
        <w:numPr>
          <w:ilvl w:val="0"/>
          <w:numId w:val="12"/>
        </w:numPr>
      </w:pPr>
      <w:r>
        <w:t xml:space="preserve">Puede esperar recibir el </w:t>
      </w:r>
      <w:r w:rsidR="00A35BE7">
        <w:t xml:space="preserve">pago </w:t>
      </w:r>
      <w:r>
        <w:t>por su participación en el estudio</w:t>
      </w:r>
      <w:r w:rsidR="00A35BE7">
        <w:t xml:space="preserve"> dentro de los 8 días hábiles </w:t>
      </w:r>
      <w:r w:rsidR="00B05EF1">
        <w:t>del día programado para el mismo.</w:t>
      </w:r>
    </w:p>
    <w:p w14:paraId="34C0C736" w14:textId="77777777" w:rsidR="00BE40F4" w:rsidRDefault="00BE40F4" w:rsidP="00BE40F4">
      <w:pPr>
        <w:pStyle w:val="ListParagraph"/>
      </w:pPr>
    </w:p>
    <w:p w14:paraId="62A73DA7" w14:textId="77777777" w:rsidR="00BE6BC6" w:rsidRPr="00A44748" w:rsidRDefault="00BE6BC6" w:rsidP="00A35BE7">
      <w:pPr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</w:pPr>
      <w:r w:rsidRPr="00A44748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>¿Recibiré un Formulario 1099 por Ingresos Misceláneos?</w:t>
      </w:r>
    </w:p>
    <w:p w14:paraId="44F5241B" w14:textId="77777777" w:rsidR="00BE6BC6" w:rsidRPr="00A44748" w:rsidRDefault="00A44748" w:rsidP="00BE40F4">
      <w:pPr>
        <w:spacing w:after="0"/>
        <w:rPr>
          <w:rFonts w:eastAsiaTheme="minorHAnsi" w:cstheme="minorHAnsi"/>
          <w:b/>
          <w:sz w:val="24"/>
          <w:szCs w:val="24"/>
        </w:rPr>
      </w:pPr>
      <w:r w:rsidRPr="00A44748">
        <w:rPr>
          <w:rFonts w:eastAsiaTheme="minorHAnsi" w:cstheme="minorHAnsi"/>
          <w:b/>
          <w:sz w:val="24"/>
          <w:szCs w:val="24"/>
        </w:rPr>
        <w:t>Si</w:t>
      </w:r>
    </w:p>
    <w:p w14:paraId="0B7703FE" w14:textId="26CAAEF2" w:rsidR="00BE6BC6" w:rsidRPr="00BE40F4" w:rsidRDefault="00BE6BC6" w:rsidP="00A35BE7">
      <w:pPr>
        <w:rPr>
          <w:sz w:val="24"/>
          <w:szCs w:val="24"/>
        </w:rPr>
      </w:pPr>
      <w:r w:rsidRPr="00BE40F4">
        <w:rPr>
          <w:sz w:val="24"/>
          <w:szCs w:val="24"/>
        </w:rPr>
        <w:t>La compensación para participantes de estudios de investigación que exceda $</w:t>
      </w:r>
      <w:r w:rsidR="00277DEE">
        <w:rPr>
          <w:sz w:val="24"/>
          <w:szCs w:val="24"/>
        </w:rPr>
        <w:t>2000</w:t>
      </w:r>
      <w:r w:rsidRPr="00BE40F4">
        <w:rPr>
          <w:sz w:val="24"/>
          <w:szCs w:val="24"/>
        </w:rPr>
        <w:t xml:space="preserve"> durante algún año calendario resultará en un formulario 1099 (Ingresos Misceláneos) expedido al participante y una copia enviada al IRS.</w:t>
      </w:r>
    </w:p>
    <w:p w14:paraId="6FE0D521" w14:textId="77777777" w:rsidR="00BE6BC6" w:rsidRPr="00A44748" w:rsidRDefault="00BE6BC6" w:rsidP="00BE40F4">
      <w:pPr>
        <w:spacing w:after="0"/>
        <w:rPr>
          <w:rFonts w:eastAsiaTheme="minorHAnsi" w:cstheme="minorHAnsi"/>
          <w:b/>
          <w:sz w:val="24"/>
          <w:szCs w:val="24"/>
        </w:rPr>
      </w:pPr>
      <w:r w:rsidRPr="00A44748">
        <w:rPr>
          <w:rFonts w:eastAsiaTheme="minorHAnsi" w:cstheme="minorHAnsi"/>
          <w:b/>
          <w:sz w:val="24"/>
          <w:szCs w:val="24"/>
        </w:rPr>
        <w:t>Para empleados de Duke</w:t>
      </w:r>
    </w:p>
    <w:p w14:paraId="1F5D3320" w14:textId="77777777" w:rsidR="00BE6BC6" w:rsidRDefault="00B05EF1" w:rsidP="00A35BE7">
      <w:pPr>
        <w:rPr>
          <w:sz w:val="24"/>
          <w:szCs w:val="24"/>
        </w:rPr>
      </w:pPr>
      <w:r w:rsidRPr="00BE40F4">
        <w:rPr>
          <w:sz w:val="24"/>
          <w:szCs w:val="24"/>
        </w:rPr>
        <w:t>Se emitir</w:t>
      </w:r>
      <w:r w:rsidR="00BE6BC6" w:rsidRPr="00BE40F4">
        <w:rPr>
          <w:sz w:val="24"/>
          <w:szCs w:val="24"/>
        </w:rPr>
        <w:t>á un Formulario 1099 (Ingreso Misceláneo) para los empleados de Duke que perciban compensación por participar en estudios de investigación en cualquier parte del año calendario y se enviará una copia al IRS independientemente del monto total pagado.</w:t>
      </w:r>
    </w:p>
    <w:p w14:paraId="557F07E6" w14:textId="77777777" w:rsidR="0066052A" w:rsidRPr="00BE40F4" w:rsidRDefault="0066052A" w:rsidP="00A35BE7">
      <w:pPr>
        <w:rPr>
          <w:sz w:val="24"/>
          <w:szCs w:val="24"/>
        </w:rPr>
      </w:pPr>
    </w:p>
    <w:p w14:paraId="055EE204" w14:textId="77777777" w:rsidR="00BE6BC6" w:rsidRPr="00A44748" w:rsidRDefault="00BE6BC6" w:rsidP="00A35BE7">
      <w:pPr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</w:pPr>
      <w:r w:rsidRPr="00A44748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>¿Qué sucede si el monto de la compra es mayor al balance de mi ClinCard?</w:t>
      </w:r>
    </w:p>
    <w:p w14:paraId="241176AA" w14:textId="77777777" w:rsidR="00BE6BC6" w:rsidRDefault="00BE6BC6" w:rsidP="00A35BE7">
      <w:pPr>
        <w:rPr>
          <w:sz w:val="24"/>
          <w:szCs w:val="24"/>
        </w:rPr>
      </w:pPr>
      <w:r w:rsidRPr="00BE40F4">
        <w:rPr>
          <w:sz w:val="24"/>
          <w:szCs w:val="24"/>
        </w:rPr>
        <w:t xml:space="preserve">Si el pago que va a efectuar es mayor que el balance en su tarjeta, asegúrese </w:t>
      </w:r>
      <w:r w:rsidR="00C811BD" w:rsidRPr="00BE40F4">
        <w:rPr>
          <w:sz w:val="24"/>
          <w:szCs w:val="24"/>
        </w:rPr>
        <w:t>de informarle al cajero el monto que usted quiere usar. De no hacerlo, si se autoriza la tarjeta por un monto mayor al disponible en su balance</w:t>
      </w:r>
      <w:r w:rsidR="00B05EF1" w:rsidRPr="00BE40F4">
        <w:rPr>
          <w:sz w:val="24"/>
          <w:szCs w:val="24"/>
        </w:rPr>
        <w:t>,</w:t>
      </w:r>
      <w:r w:rsidR="00C811BD" w:rsidRPr="00BE40F4">
        <w:rPr>
          <w:sz w:val="24"/>
          <w:szCs w:val="24"/>
        </w:rPr>
        <w:t xml:space="preserve"> la compra entera será declinada.</w:t>
      </w:r>
    </w:p>
    <w:p w14:paraId="4D022EF9" w14:textId="77777777" w:rsidR="0066052A" w:rsidRPr="00BE40F4" w:rsidRDefault="0066052A" w:rsidP="00A35BE7">
      <w:pPr>
        <w:rPr>
          <w:sz w:val="24"/>
          <w:szCs w:val="24"/>
        </w:rPr>
      </w:pPr>
    </w:p>
    <w:p w14:paraId="67D0F0C7" w14:textId="77777777" w:rsidR="00C811BD" w:rsidRPr="00A44748" w:rsidRDefault="00ED0066" w:rsidP="00A35BE7">
      <w:pPr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</w:pPr>
      <w:r w:rsidRPr="00A44748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>¿</w:t>
      </w:r>
      <w:r w:rsidR="00432495" w:rsidRPr="00A44748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>Qué debo</w:t>
      </w:r>
      <w:r w:rsidRPr="00A44748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 xml:space="preserve"> hacer si mi tarjeta ClinCard</w:t>
      </w:r>
      <w:r w:rsidR="00F357C5" w:rsidRPr="00A44748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 xml:space="preserve"> se pierde, se daña o es robada?</w:t>
      </w:r>
    </w:p>
    <w:p w14:paraId="55B1F8D4" w14:textId="77777777" w:rsidR="00DC5287" w:rsidRDefault="00DC5287" w:rsidP="00A35BE7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Si su tarjeta es robada o se daña, por favor notifíqueselo a su contacto en la sede del estudio, y allí mismo reemplazarán la tarjeta por otra, sin costo para usted. Esto desactivará la antigua tarjeta y su saldo se transferirá a la nueva.</w:t>
      </w:r>
    </w:p>
    <w:p w14:paraId="27A3C47E" w14:textId="77777777" w:rsidR="00F357C5" w:rsidRPr="00BE40F4" w:rsidRDefault="00F357C5" w:rsidP="00A35BE7">
      <w:pPr>
        <w:rPr>
          <w:sz w:val="24"/>
          <w:szCs w:val="24"/>
        </w:rPr>
      </w:pPr>
      <w:r w:rsidRPr="00BE40F4">
        <w:rPr>
          <w:sz w:val="24"/>
          <w:szCs w:val="24"/>
        </w:rPr>
        <w:t xml:space="preserve">Si su tarjeta se pierde o se daña, notifíqueselo a su contacto en la sede del estudio o a Servicio al Cliente al número que se encuentra abajo. Podría aplicar una tarifa de $7 por reemplazo de tarjeta y podría </w:t>
      </w:r>
      <w:r w:rsidR="00B05EF1" w:rsidRPr="00BE40F4">
        <w:rPr>
          <w:sz w:val="24"/>
          <w:szCs w:val="24"/>
        </w:rPr>
        <w:t>tomar entre 7 a 10 días el</w:t>
      </w:r>
      <w:r w:rsidR="00471271" w:rsidRPr="00BE40F4">
        <w:rPr>
          <w:sz w:val="24"/>
          <w:szCs w:val="24"/>
        </w:rPr>
        <w:t xml:space="preserve"> recibir una nueva tarjeta por correo.</w:t>
      </w:r>
    </w:p>
    <w:p w14:paraId="50B5E9B1" w14:textId="77777777" w:rsidR="00652DAB" w:rsidRPr="00BE40F4" w:rsidRDefault="00652DAB" w:rsidP="00A35BE7">
      <w:pPr>
        <w:rPr>
          <w:sz w:val="24"/>
          <w:szCs w:val="24"/>
        </w:rPr>
      </w:pPr>
      <w:r w:rsidRPr="00BE40F4">
        <w:rPr>
          <w:sz w:val="24"/>
          <w:szCs w:val="24"/>
        </w:rPr>
        <w:t>Si su tarjeta es robada, por favor reporte el incidente a Servicio al Cliente tan pronto como sea posible llamando al 1-886-952-3795. Servicio al C</w:t>
      </w:r>
      <w:r w:rsidR="00B05EF1" w:rsidRPr="00BE40F4">
        <w:rPr>
          <w:sz w:val="24"/>
          <w:szCs w:val="24"/>
        </w:rPr>
        <w:t>liente marcará la tarjeta como “</w:t>
      </w:r>
      <w:r w:rsidRPr="00BE40F4">
        <w:rPr>
          <w:sz w:val="24"/>
          <w:szCs w:val="24"/>
        </w:rPr>
        <w:t>robada” y lo asistirá para que contacte a Mastercard para abri</w:t>
      </w:r>
      <w:r w:rsidR="00B05EF1" w:rsidRPr="00BE40F4">
        <w:rPr>
          <w:sz w:val="24"/>
          <w:szCs w:val="24"/>
        </w:rPr>
        <w:t>r un caso. Usted debe</w:t>
      </w:r>
      <w:r w:rsidRPr="00BE40F4">
        <w:rPr>
          <w:sz w:val="24"/>
          <w:szCs w:val="24"/>
        </w:rPr>
        <w:t xml:space="preserve"> también notificar a su contacto en el estudio. </w:t>
      </w:r>
    </w:p>
    <w:p w14:paraId="6DD315EC" w14:textId="77777777" w:rsidR="00652DAB" w:rsidRDefault="00652DAB" w:rsidP="00A35BE7"/>
    <w:p w14:paraId="55FCEAC8" w14:textId="77777777" w:rsidR="00652DAB" w:rsidRPr="00A44748" w:rsidRDefault="00432495" w:rsidP="00A35BE7">
      <w:pPr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</w:pPr>
      <w:r w:rsidRPr="00A44748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>¿Qué debo</w:t>
      </w:r>
      <w:r w:rsidR="00652DAB" w:rsidRPr="00A44748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 xml:space="preserve"> hacer si mi </w:t>
      </w:r>
      <w:r w:rsidR="008A3C41" w:rsidRPr="00A44748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 xml:space="preserve">información de contacto como dirección postal, número de teléfono celular o </w:t>
      </w:r>
      <w:r w:rsidR="00652DAB" w:rsidRPr="00A44748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 xml:space="preserve"> dirección de correo electrónico cambian?</w:t>
      </w:r>
    </w:p>
    <w:p w14:paraId="62C7D1A5" w14:textId="77777777" w:rsidR="00652DAB" w:rsidRPr="00BE40F4" w:rsidRDefault="00652DAB" w:rsidP="00A35BE7">
      <w:pPr>
        <w:rPr>
          <w:sz w:val="24"/>
          <w:szCs w:val="24"/>
        </w:rPr>
      </w:pPr>
      <w:r w:rsidRPr="00BE40F4">
        <w:rPr>
          <w:sz w:val="24"/>
          <w:szCs w:val="24"/>
        </w:rPr>
        <w:t>Si su dirección postal, su número de teléfono celular o su dirección de correo electrónico cambian durante su participación en el estudio, por</w:t>
      </w:r>
      <w:r w:rsidR="002E06B5" w:rsidRPr="00BE40F4">
        <w:rPr>
          <w:sz w:val="24"/>
          <w:szCs w:val="24"/>
        </w:rPr>
        <w:t xml:space="preserve"> favor há</w:t>
      </w:r>
      <w:r w:rsidRPr="00BE40F4">
        <w:rPr>
          <w:sz w:val="24"/>
          <w:szCs w:val="24"/>
        </w:rPr>
        <w:t>gaselo saber a su contacto en la sede del estudio. Su contacto actualizará la información en el Sistema de la tarjeta Duke ClinCard</w:t>
      </w:r>
      <w:r w:rsidR="002E06B5" w:rsidRPr="00BE40F4">
        <w:rPr>
          <w:sz w:val="24"/>
          <w:szCs w:val="24"/>
        </w:rPr>
        <w:t>.</w:t>
      </w:r>
    </w:p>
    <w:p w14:paraId="26C2A2BA" w14:textId="77777777" w:rsidR="003471AD" w:rsidRDefault="003471AD" w:rsidP="00A35BE7"/>
    <w:p w14:paraId="13E96FBF" w14:textId="77777777" w:rsidR="003471AD" w:rsidRPr="00A44748" w:rsidRDefault="003471AD" w:rsidP="00A35BE7">
      <w:pPr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</w:pPr>
      <w:r w:rsidRPr="00A44748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>Se supone que debo recibir notificaciones relativas a pagos en mi Duke ClinCard</w:t>
      </w:r>
      <w:r w:rsidR="005A22FC" w:rsidRPr="00A44748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 xml:space="preserve"> a través de mi correo electrónico. Hasta</w:t>
      </w:r>
      <w:r w:rsidR="004E728B" w:rsidRPr="00A44748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 xml:space="preserve"> hoy no he recibido un correo, </w:t>
      </w:r>
      <w:r w:rsidR="005A22FC" w:rsidRPr="00A44748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>¿cúal es el problema?</w:t>
      </w:r>
    </w:p>
    <w:p w14:paraId="7D70B25F" w14:textId="77777777" w:rsidR="005A22FC" w:rsidRDefault="005A22FC" w:rsidP="00A35BE7">
      <w:pPr>
        <w:rPr>
          <w:i/>
          <w:sz w:val="24"/>
          <w:szCs w:val="24"/>
        </w:rPr>
      </w:pPr>
      <w:r w:rsidRPr="00BE40F4">
        <w:rPr>
          <w:sz w:val="24"/>
          <w:szCs w:val="24"/>
        </w:rPr>
        <w:t xml:space="preserve">Las notificaciones de correo electrónico de Duke ClinCard son enviadas desde </w:t>
      </w:r>
      <w:r w:rsidR="00DC5287">
        <w:rPr>
          <w:rFonts w:cstheme="minorHAnsi"/>
          <w:color w:val="000000"/>
          <w:sz w:val="24"/>
          <w:szCs w:val="24"/>
        </w:rPr>
        <w:t xml:space="preserve">‘noreply@greenphire.com’. </w:t>
      </w:r>
      <w:r w:rsidR="00FF038F" w:rsidRPr="00BE40F4">
        <w:rPr>
          <w:sz w:val="24"/>
          <w:szCs w:val="24"/>
        </w:rPr>
        <w:t xml:space="preserve">Si cree que no le ha llegado una notificación, por favor revise su carpeta de “spam” o correo no deseado. Si el correo está allí, ajuste sus configuraciones para que puedan llegarle las notificaciones en el futuro. </w:t>
      </w:r>
      <w:r w:rsidR="004E728B" w:rsidRPr="00BE40F4">
        <w:rPr>
          <w:sz w:val="24"/>
          <w:szCs w:val="24"/>
        </w:rPr>
        <w:t xml:space="preserve">Si aún no puede localizar un correo, notifique a su punto de contacto en el equipo del estudio. Recuerde </w:t>
      </w:r>
      <w:r w:rsidR="00B05EF1" w:rsidRPr="00BE40F4">
        <w:rPr>
          <w:sz w:val="24"/>
          <w:szCs w:val="24"/>
        </w:rPr>
        <w:t xml:space="preserve">que </w:t>
      </w:r>
      <w:r w:rsidR="004E728B" w:rsidRPr="00BE40F4">
        <w:rPr>
          <w:sz w:val="24"/>
          <w:szCs w:val="24"/>
        </w:rPr>
        <w:t>siempre puede confirmar un pago o controlar su sa</w:t>
      </w:r>
      <w:r w:rsidR="00B05EF1" w:rsidRPr="00BE40F4">
        <w:rPr>
          <w:sz w:val="24"/>
          <w:szCs w:val="24"/>
        </w:rPr>
        <w:t xml:space="preserve">ldo como se explicó arriba en </w:t>
      </w:r>
      <w:r w:rsidR="00B05EF1" w:rsidRPr="001022A2">
        <w:rPr>
          <w:i/>
          <w:sz w:val="24"/>
          <w:szCs w:val="24"/>
        </w:rPr>
        <w:t>¿C</w:t>
      </w:r>
      <w:r w:rsidR="004E728B" w:rsidRPr="001022A2">
        <w:rPr>
          <w:i/>
          <w:sz w:val="24"/>
          <w:szCs w:val="24"/>
        </w:rPr>
        <w:t>ómo verifico mi saldo disponible?</w:t>
      </w:r>
    </w:p>
    <w:p w14:paraId="6777EB5C" w14:textId="77777777" w:rsidR="00DC5287" w:rsidRPr="00DC5287" w:rsidRDefault="00DC5287" w:rsidP="00A35BE7">
      <w:pPr>
        <w:rPr>
          <w:sz w:val="24"/>
          <w:szCs w:val="24"/>
        </w:rPr>
      </w:pPr>
    </w:p>
    <w:p w14:paraId="7E8D0435" w14:textId="77777777" w:rsidR="004E728B" w:rsidRPr="00A44748" w:rsidRDefault="004E728B" w:rsidP="00A35BE7">
      <w:pPr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</w:pPr>
      <w:r w:rsidRPr="00A44748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>¿Puedo usar mi ClinCard en un restaurante?</w:t>
      </w:r>
    </w:p>
    <w:p w14:paraId="02E752A7" w14:textId="77777777" w:rsidR="004E728B" w:rsidRDefault="00BE40F4" w:rsidP="00A35BE7">
      <w:pPr>
        <w:rPr>
          <w:sz w:val="24"/>
          <w:szCs w:val="24"/>
        </w:rPr>
      </w:pPr>
      <w:r>
        <w:rPr>
          <w:sz w:val="24"/>
          <w:szCs w:val="24"/>
        </w:rPr>
        <w:t>Si</w:t>
      </w:r>
      <w:r w:rsidR="004E728B" w:rsidRPr="00BE40F4">
        <w:rPr>
          <w:sz w:val="24"/>
          <w:szCs w:val="24"/>
        </w:rPr>
        <w:t>. Sin embargo, por favor tenga en cuenta que los restaurantes (incluyendo los de</w:t>
      </w:r>
      <w:r w:rsidR="00DC5287">
        <w:rPr>
          <w:sz w:val="24"/>
          <w:szCs w:val="24"/>
        </w:rPr>
        <w:t xml:space="preserve"> comida rápida) automáticamente</w:t>
      </w:r>
      <w:r w:rsidR="004E728B" w:rsidRPr="00BE40F4">
        <w:rPr>
          <w:sz w:val="24"/>
          <w:szCs w:val="24"/>
        </w:rPr>
        <w:t xml:space="preserve"> preautorizan su tarjeta por un 20 % más del total del monto de la cuenta, así que asegúrese de tener suficiente saldo disponible en su tarjeta para cubrir ese monto.</w:t>
      </w:r>
    </w:p>
    <w:p w14:paraId="7F5A8BA2" w14:textId="77777777" w:rsidR="00DC5287" w:rsidRPr="00DC5287" w:rsidRDefault="00DC5287" w:rsidP="00A35BE7">
      <w:pPr>
        <w:rPr>
          <w:sz w:val="24"/>
          <w:szCs w:val="24"/>
        </w:rPr>
      </w:pPr>
    </w:p>
    <w:p w14:paraId="4FABC42F" w14:textId="77777777" w:rsidR="004E728B" w:rsidRPr="00A44748" w:rsidRDefault="004E728B" w:rsidP="00A35BE7">
      <w:pPr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</w:pPr>
      <w:r w:rsidRPr="00A44748">
        <w:rPr>
          <w:rFonts w:ascii="Rockwell Extra Bold" w:eastAsiaTheme="minorHAnsi" w:hAnsi="Rockwell Extra Bold" w:cs="Trebuchet MS"/>
          <w:b/>
          <w:bCs/>
          <w:color w:val="1F4E79" w:themeColor="accent1" w:themeShade="80"/>
          <w:sz w:val="28"/>
          <w:szCs w:val="28"/>
        </w:rPr>
        <w:t>¿Puedo usar mi ClinCard en una estación de gasolina?</w:t>
      </w:r>
    </w:p>
    <w:p w14:paraId="0B9212EC" w14:textId="77777777" w:rsidR="004E728B" w:rsidRPr="00BE40F4" w:rsidRDefault="00BE40F4" w:rsidP="00A35BE7">
      <w:pPr>
        <w:rPr>
          <w:sz w:val="24"/>
          <w:szCs w:val="24"/>
        </w:rPr>
      </w:pPr>
      <w:r w:rsidRPr="00BE40F4">
        <w:rPr>
          <w:sz w:val="24"/>
          <w:szCs w:val="24"/>
        </w:rPr>
        <w:t>Si</w:t>
      </w:r>
      <w:r w:rsidR="004E728B" w:rsidRPr="00BE40F4">
        <w:rPr>
          <w:sz w:val="24"/>
          <w:szCs w:val="24"/>
        </w:rPr>
        <w:t xml:space="preserve">. Sin embargo, </w:t>
      </w:r>
      <w:r w:rsidR="004F12F8" w:rsidRPr="00BE40F4">
        <w:rPr>
          <w:sz w:val="24"/>
          <w:szCs w:val="24"/>
        </w:rPr>
        <w:t>por favor presente su tarjeta al cajero y pídale que debite un monto específico. De no hacerlo, si usa la tarjeta directamente en el surtidor, la estación de servicio preautorizará su tarjeta con hasta $75 o más</w:t>
      </w:r>
      <w:r w:rsidR="00B90DE1" w:rsidRPr="00BE40F4">
        <w:rPr>
          <w:sz w:val="24"/>
          <w:szCs w:val="24"/>
        </w:rPr>
        <w:t>. Mientras que esa autorización previa no es un cargo que se hace a su cuenta, si se realiza</w:t>
      </w:r>
      <w:r w:rsidR="00B05EF1" w:rsidRPr="00BE40F4">
        <w:rPr>
          <w:sz w:val="24"/>
          <w:szCs w:val="24"/>
        </w:rPr>
        <w:t>,</w:t>
      </w:r>
      <w:r w:rsidR="00B90DE1" w:rsidRPr="00BE40F4">
        <w:rPr>
          <w:sz w:val="24"/>
          <w:szCs w:val="24"/>
        </w:rPr>
        <w:t xml:space="preserve"> influye en el calculo de su </w:t>
      </w:r>
      <w:r w:rsidR="00DC5287">
        <w:rPr>
          <w:sz w:val="24"/>
          <w:szCs w:val="24"/>
        </w:rPr>
        <w:t xml:space="preserve">saldo disponible. Pueden pasar </w:t>
      </w:r>
      <w:r w:rsidR="00B90DE1" w:rsidRPr="00BE40F4">
        <w:rPr>
          <w:sz w:val="24"/>
          <w:szCs w:val="24"/>
        </w:rPr>
        <w:t>varios días hasta que esa preautorización sea removida.</w:t>
      </w:r>
      <w:r w:rsidR="004E728B" w:rsidRPr="00BE40F4">
        <w:rPr>
          <w:sz w:val="24"/>
          <w:szCs w:val="24"/>
        </w:rPr>
        <w:t xml:space="preserve"> </w:t>
      </w:r>
    </w:p>
    <w:p w14:paraId="7DECA506" w14:textId="77777777" w:rsidR="004E728B" w:rsidRDefault="004E728B" w:rsidP="00A35BE7"/>
    <w:p w14:paraId="7A83C758" w14:textId="77777777" w:rsidR="00B34530" w:rsidRPr="002342B0" w:rsidRDefault="00B34530">
      <w:pPr>
        <w:rPr>
          <w:rFonts w:ascii="Microsoft JhengHei" w:eastAsia="Microsoft JhengHei" w:hAnsi="Microsoft JhengHei" w:cs="Microsoft JhengHei"/>
          <w:lang w:eastAsia="ja-JP"/>
        </w:rPr>
      </w:pPr>
    </w:p>
    <w:sectPr w:rsidR="00B34530" w:rsidRPr="002342B0" w:rsidSect="007B676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02AA4" w14:textId="77777777" w:rsidR="00E3205A" w:rsidRDefault="00E3205A" w:rsidP="00A44748">
      <w:pPr>
        <w:spacing w:after="0" w:line="240" w:lineRule="auto"/>
      </w:pPr>
      <w:r>
        <w:separator/>
      </w:r>
    </w:p>
  </w:endnote>
  <w:endnote w:type="continuationSeparator" w:id="0">
    <w:p w14:paraId="4E91602B" w14:textId="77777777" w:rsidR="00E3205A" w:rsidRDefault="00E3205A" w:rsidP="00A4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D2DD" w14:textId="2171F5E0" w:rsidR="007B6765" w:rsidRPr="00EA04DB" w:rsidRDefault="007B6765" w:rsidP="007B6765">
    <w:pPr>
      <w:pStyle w:val="Footer"/>
      <w:rPr>
        <w:i/>
      </w:rPr>
    </w:pPr>
    <w:r w:rsidRPr="00EA04DB">
      <w:rPr>
        <w:i/>
      </w:rPr>
      <w:t>Version</w:t>
    </w:r>
    <w:r>
      <w:rPr>
        <w:i/>
      </w:rPr>
      <w:t xml:space="preserve"> Date: </w:t>
    </w:r>
    <w:r w:rsidR="001E4C5E">
      <w:rPr>
        <w:i/>
      </w:rPr>
      <w:t>January 1, 2026</w:t>
    </w:r>
  </w:p>
  <w:p w14:paraId="26512FFE" w14:textId="77777777" w:rsidR="007B6765" w:rsidRDefault="007B6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E2BFF" w14:textId="77777777" w:rsidR="00E3205A" w:rsidRDefault="00E3205A" w:rsidP="00A44748">
      <w:pPr>
        <w:spacing w:after="0" w:line="240" w:lineRule="auto"/>
      </w:pPr>
      <w:r>
        <w:separator/>
      </w:r>
    </w:p>
  </w:footnote>
  <w:footnote w:type="continuationSeparator" w:id="0">
    <w:p w14:paraId="570E6043" w14:textId="77777777" w:rsidR="00E3205A" w:rsidRDefault="00E3205A" w:rsidP="00A44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D293F"/>
    <w:multiLevelType w:val="hybridMultilevel"/>
    <w:tmpl w:val="BE6824A8"/>
    <w:lvl w:ilvl="0" w:tplc="44E09CB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24D3"/>
    <w:multiLevelType w:val="hybridMultilevel"/>
    <w:tmpl w:val="FA86873A"/>
    <w:lvl w:ilvl="0" w:tplc="44E09CB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C4870"/>
    <w:multiLevelType w:val="hybridMultilevel"/>
    <w:tmpl w:val="45380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62CCD"/>
    <w:multiLevelType w:val="hybridMultilevel"/>
    <w:tmpl w:val="9434FE60"/>
    <w:lvl w:ilvl="0" w:tplc="44E09CB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6C01"/>
    <w:multiLevelType w:val="hybridMultilevel"/>
    <w:tmpl w:val="4A02BBD2"/>
    <w:lvl w:ilvl="0" w:tplc="44E09CB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A3E30"/>
    <w:multiLevelType w:val="hybridMultilevel"/>
    <w:tmpl w:val="D5F23D96"/>
    <w:lvl w:ilvl="0" w:tplc="44E09CB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A51E9"/>
    <w:multiLevelType w:val="hybridMultilevel"/>
    <w:tmpl w:val="3FEEDB90"/>
    <w:lvl w:ilvl="0" w:tplc="44E09CB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C3176"/>
    <w:multiLevelType w:val="hybridMultilevel"/>
    <w:tmpl w:val="51C2CEC0"/>
    <w:lvl w:ilvl="0" w:tplc="6B7ABF9C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7E1B61"/>
    <w:multiLevelType w:val="hybridMultilevel"/>
    <w:tmpl w:val="1C60D184"/>
    <w:lvl w:ilvl="0" w:tplc="44E09CB0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703A31"/>
    <w:multiLevelType w:val="hybridMultilevel"/>
    <w:tmpl w:val="65C6EE64"/>
    <w:lvl w:ilvl="0" w:tplc="44E09CB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A2334"/>
    <w:multiLevelType w:val="hybridMultilevel"/>
    <w:tmpl w:val="5A5AAD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F1EAB"/>
    <w:multiLevelType w:val="hybridMultilevel"/>
    <w:tmpl w:val="E9CCE19E"/>
    <w:lvl w:ilvl="0" w:tplc="44E09CB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E35BD"/>
    <w:multiLevelType w:val="hybridMultilevel"/>
    <w:tmpl w:val="0712AE60"/>
    <w:lvl w:ilvl="0" w:tplc="44E09CB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37AA7"/>
    <w:multiLevelType w:val="hybridMultilevel"/>
    <w:tmpl w:val="9C4A550E"/>
    <w:lvl w:ilvl="0" w:tplc="65D896F4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0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B0"/>
    <w:rsid w:val="00030791"/>
    <w:rsid w:val="00071EC0"/>
    <w:rsid w:val="000B1E72"/>
    <w:rsid w:val="001022A2"/>
    <w:rsid w:val="001524EF"/>
    <w:rsid w:val="00166EED"/>
    <w:rsid w:val="001C4407"/>
    <w:rsid w:val="001E4C5E"/>
    <w:rsid w:val="001E652F"/>
    <w:rsid w:val="001F1F35"/>
    <w:rsid w:val="002061D5"/>
    <w:rsid w:val="00210A5F"/>
    <w:rsid w:val="00225D3F"/>
    <w:rsid w:val="002342B0"/>
    <w:rsid w:val="00277DEE"/>
    <w:rsid w:val="00284CC5"/>
    <w:rsid w:val="002E06B5"/>
    <w:rsid w:val="003000D3"/>
    <w:rsid w:val="003471AD"/>
    <w:rsid w:val="003D25AC"/>
    <w:rsid w:val="003D6F56"/>
    <w:rsid w:val="003F5FF9"/>
    <w:rsid w:val="00402772"/>
    <w:rsid w:val="00432495"/>
    <w:rsid w:val="00471271"/>
    <w:rsid w:val="0047637C"/>
    <w:rsid w:val="00490B87"/>
    <w:rsid w:val="004A295E"/>
    <w:rsid w:val="004E3421"/>
    <w:rsid w:val="004E728B"/>
    <w:rsid w:val="004F12F8"/>
    <w:rsid w:val="005A22FC"/>
    <w:rsid w:val="005E420D"/>
    <w:rsid w:val="005F2861"/>
    <w:rsid w:val="00600661"/>
    <w:rsid w:val="006446C7"/>
    <w:rsid w:val="00652483"/>
    <w:rsid w:val="00652DAB"/>
    <w:rsid w:val="0066052A"/>
    <w:rsid w:val="00680B61"/>
    <w:rsid w:val="0069673D"/>
    <w:rsid w:val="0071200A"/>
    <w:rsid w:val="00747E9C"/>
    <w:rsid w:val="00772A09"/>
    <w:rsid w:val="007B6765"/>
    <w:rsid w:val="007C5186"/>
    <w:rsid w:val="007D5319"/>
    <w:rsid w:val="007D5637"/>
    <w:rsid w:val="0082470F"/>
    <w:rsid w:val="008A3C41"/>
    <w:rsid w:val="00936263"/>
    <w:rsid w:val="00951638"/>
    <w:rsid w:val="0098005B"/>
    <w:rsid w:val="009D5D82"/>
    <w:rsid w:val="00A35BE7"/>
    <w:rsid w:val="00A44748"/>
    <w:rsid w:val="00A46C6E"/>
    <w:rsid w:val="00AB58F6"/>
    <w:rsid w:val="00B05EF1"/>
    <w:rsid w:val="00B15C60"/>
    <w:rsid w:val="00B34530"/>
    <w:rsid w:val="00B83861"/>
    <w:rsid w:val="00B90DE1"/>
    <w:rsid w:val="00B91DFA"/>
    <w:rsid w:val="00BE40F4"/>
    <w:rsid w:val="00BE6BC6"/>
    <w:rsid w:val="00C811BD"/>
    <w:rsid w:val="00C84E3B"/>
    <w:rsid w:val="00CC2F61"/>
    <w:rsid w:val="00CD03BC"/>
    <w:rsid w:val="00CD2E7E"/>
    <w:rsid w:val="00D23270"/>
    <w:rsid w:val="00D341FC"/>
    <w:rsid w:val="00DC5287"/>
    <w:rsid w:val="00DE286D"/>
    <w:rsid w:val="00E003A3"/>
    <w:rsid w:val="00E23999"/>
    <w:rsid w:val="00E3205A"/>
    <w:rsid w:val="00E52297"/>
    <w:rsid w:val="00E549DC"/>
    <w:rsid w:val="00E96DB8"/>
    <w:rsid w:val="00EC56DA"/>
    <w:rsid w:val="00ED0066"/>
    <w:rsid w:val="00EF0EED"/>
    <w:rsid w:val="00F357C5"/>
    <w:rsid w:val="00F4012C"/>
    <w:rsid w:val="00F55781"/>
    <w:rsid w:val="00F76972"/>
    <w:rsid w:val="00F81FB5"/>
    <w:rsid w:val="00F83125"/>
    <w:rsid w:val="00FF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A9387"/>
  <w15:docId w15:val="{4E59A300-33CB-43A0-8A9B-7E23AC6E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56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5BE7"/>
    <w:pPr>
      <w:ind w:left="720"/>
      <w:contextualSpacing/>
    </w:pPr>
  </w:style>
  <w:style w:type="table" w:styleId="TableGrid">
    <w:name w:val="Table Grid"/>
    <w:basedOn w:val="TableNormal"/>
    <w:uiPriority w:val="59"/>
    <w:rsid w:val="00E2399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4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748"/>
  </w:style>
  <w:style w:type="paragraph" w:styleId="Footer">
    <w:name w:val="footer"/>
    <w:basedOn w:val="Normal"/>
    <w:link w:val="FooterChar"/>
    <w:uiPriority w:val="99"/>
    <w:unhideWhenUsed/>
    <w:rsid w:val="00A44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748"/>
  </w:style>
  <w:style w:type="character" w:styleId="CommentReference">
    <w:name w:val="annotation reference"/>
    <w:basedOn w:val="DefaultParagraphFont"/>
    <w:uiPriority w:val="99"/>
    <w:semiHidden/>
    <w:unhideWhenUsed/>
    <w:rsid w:val="00824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7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7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70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307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1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clincar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0F7E8-7FBF-40DF-BDD5-2682DA35C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Clinical Research Institute</Company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Plez</dc:creator>
  <cp:lastModifiedBy>Minna Pak</cp:lastModifiedBy>
  <cp:revision>2</cp:revision>
  <dcterms:created xsi:type="dcterms:W3CDTF">2025-12-31T01:14:00Z</dcterms:created>
  <dcterms:modified xsi:type="dcterms:W3CDTF">2025-12-31T01:14:00Z</dcterms:modified>
</cp:coreProperties>
</file>