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7CE38" w14:textId="77777777" w:rsidR="00086067" w:rsidRDefault="00086067" w:rsidP="00A65E3D">
      <w:pPr>
        <w:jc w:val="center"/>
        <w:rPr>
          <w:b/>
        </w:rPr>
      </w:pPr>
      <w:bookmarkStart w:id="0" w:name="_GoBack"/>
      <w:bookmarkEnd w:id="0"/>
      <w:r>
        <w:rPr>
          <w:b/>
        </w:rPr>
        <w:t>FREQUENTLY ASKED QUESTIONS</w:t>
      </w:r>
    </w:p>
    <w:p w14:paraId="13EBE3E0" w14:textId="77777777" w:rsidR="00086067" w:rsidRDefault="00A65E3D" w:rsidP="00A65E3D">
      <w:pPr>
        <w:jc w:val="center"/>
        <w:rPr>
          <w:b/>
        </w:rPr>
      </w:pPr>
      <w:r>
        <w:rPr>
          <w:b/>
        </w:rPr>
        <w:t xml:space="preserve">Regulatory Assessment of </w:t>
      </w:r>
      <w:r w:rsidRPr="00C6718E">
        <w:rPr>
          <w:b/>
        </w:rPr>
        <w:t>a</w:t>
      </w:r>
      <w:r>
        <w:rPr>
          <w:b/>
        </w:rPr>
        <w:t xml:space="preserve"> Clinical Study Involving</w:t>
      </w:r>
      <w:r w:rsidR="00086067">
        <w:rPr>
          <w:b/>
        </w:rPr>
        <w:t xml:space="preserve"> </w:t>
      </w:r>
      <w:r>
        <w:rPr>
          <w:b/>
        </w:rPr>
        <w:t>an</w:t>
      </w:r>
    </w:p>
    <w:p w14:paraId="58CD3267" w14:textId="5B91CEBB" w:rsidR="00A65E3D" w:rsidRPr="00C6718E" w:rsidRDefault="00A65E3D" w:rsidP="00A65E3D">
      <w:pPr>
        <w:jc w:val="center"/>
        <w:rPr>
          <w:b/>
        </w:rPr>
      </w:pPr>
      <w:r>
        <w:rPr>
          <w:b/>
        </w:rPr>
        <w:t xml:space="preserve"> In Vitro</w:t>
      </w:r>
      <w:r w:rsidRPr="00C6718E">
        <w:rPr>
          <w:b/>
        </w:rPr>
        <w:t xml:space="preserve"> Diagnostic </w:t>
      </w:r>
      <w:r>
        <w:rPr>
          <w:b/>
        </w:rPr>
        <w:t>(IVD)</w:t>
      </w:r>
      <w:r w:rsidR="009467E6">
        <w:rPr>
          <w:b/>
        </w:rPr>
        <w:t xml:space="preserve"> Device</w:t>
      </w:r>
    </w:p>
    <w:p w14:paraId="7754B5DB" w14:textId="77777777" w:rsidR="00925C87" w:rsidRDefault="00925C87" w:rsidP="00DD4464"/>
    <w:p w14:paraId="07D17E3C" w14:textId="0FA2C244" w:rsidR="00DD4464" w:rsidRDefault="00DD4464" w:rsidP="00334271">
      <w:pPr>
        <w:spacing w:after="120"/>
      </w:pPr>
      <w:r>
        <w:t>In vitro diagnostics (IVDs)</w:t>
      </w:r>
      <w:r w:rsidR="00437107">
        <w:t xml:space="preserve"> </w:t>
      </w:r>
      <w:r>
        <w:t xml:space="preserve">meet the definition of a device under the </w:t>
      </w:r>
      <w:r w:rsidR="00716F51">
        <w:t xml:space="preserve">Federal Food, Drug and Cosmetic </w:t>
      </w:r>
      <w:r>
        <w:t xml:space="preserve">Act. Section 201(h) of the Act defines a device as: “an instrument, apparatus, implement, machine, contrivance, implant, in vitro reagent, or other similar or related article, including any component, part, or accessory, which is— </w:t>
      </w:r>
    </w:p>
    <w:p w14:paraId="0AE47807" w14:textId="77777777" w:rsidR="00DD4464" w:rsidRDefault="00DD4464" w:rsidP="00DD4464">
      <w:pPr>
        <w:pStyle w:val="ListParagraph"/>
        <w:numPr>
          <w:ilvl w:val="0"/>
          <w:numId w:val="2"/>
        </w:numPr>
      </w:pPr>
      <w:r>
        <w:t xml:space="preserve">recognized in the official National Formulary, or the United States Pharmacopeia, or any supplement to them, </w:t>
      </w:r>
    </w:p>
    <w:p w14:paraId="79DD48CE" w14:textId="77777777" w:rsidR="00DD4464" w:rsidRDefault="00DD4464" w:rsidP="00DD4464">
      <w:pPr>
        <w:pStyle w:val="ListParagraph"/>
        <w:numPr>
          <w:ilvl w:val="0"/>
          <w:numId w:val="2"/>
        </w:numPr>
      </w:pPr>
      <w:r>
        <w:t xml:space="preserve">intended for use in the diagnosis of disease or other conditions, or in the cure, mitigation, treatment, or prevention of disease, in man or other animals, or </w:t>
      </w:r>
    </w:p>
    <w:p w14:paraId="393F03BE" w14:textId="77777777" w:rsidR="00DD4464" w:rsidRDefault="00DD4464" w:rsidP="00DD4464">
      <w:pPr>
        <w:pStyle w:val="ListParagraph"/>
        <w:numPr>
          <w:ilvl w:val="0"/>
          <w:numId w:val="2"/>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 21 U.S.C. 321(h) (emphasis added).</w:t>
      </w:r>
    </w:p>
    <w:p w14:paraId="417F6212" w14:textId="77777777" w:rsidR="00DD4464" w:rsidRDefault="00DD4464" w:rsidP="00DD4464"/>
    <w:p w14:paraId="3AC8AE23" w14:textId="5037B758" w:rsidR="0066030D" w:rsidRDefault="00716F51" w:rsidP="00A65E3D">
      <w:pPr>
        <w:widowControl w:val="0"/>
        <w:autoSpaceDE w:val="0"/>
        <w:autoSpaceDN w:val="0"/>
        <w:adjustRightInd w:val="0"/>
      </w:pPr>
      <w:r>
        <w:t>The Investigational Device Exemptions (IDE) regulation, 21 CFR 812</w:t>
      </w:r>
      <w:r w:rsidR="00F45A85">
        <w:t>,</w:t>
      </w:r>
      <w:r>
        <w:t xml:space="preserve"> provides regulatory requirements for studies of investigational devices</w:t>
      </w:r>
      <w:r w:rsidR="00A73071">
        <w:t>, including those using IVDs</w:t>
      </w:r>
      <w:r>
        <w:t xml:space="preserve">. </w:t>
      </w:r>
      <w:r w:rsidR="00A65E3D" w:rsidRPr="00BD1029">
        <w:t>An IVD devic</w:t>
      </w:r>
      <w:r w:rsidR="00A65E3D" w:rsidRPr="00A66A26">
        <w:t xml:space="preserve">e </w:t>
      </w:r>
      <w:r w:rsidR="00885949">
        <w:t xml:space="preserve">(IVDD) </w:t>
      </w:r>
      <w:r w:rsidR="00A65E3D" w:rsidRPr="00A66A26">
        <w:t>is often different from other</w:t>
      </w:r>
      <w:r w:rsidR="00A65E3D">
        <w:t xml:space="preserve"> </w:t>
      </w:r>
      <w:r w:rsidR="00A65E3D" w:rsidRPr="00BD1029">
        <w:t>devices becaus</w:t>
      </w:r>
      <w:r w:rsidR="00A65E3D" w:rsidRPr="00485E90">
        <w:t xml:space="preserve">e most other devices function </w:t>
      </w:r>
      <w:r w:rsidR="00A65E3D">
        <w:t>“on”</w:t>
      </w:r>
      <w:r>
        <w:t xml:space="preserve"> </w:t>
      </w:r>
      <w:r w:rsidR="00A65E3D" w:rsidRPr="00485E90">
        <w:t xml:space="preserve">or </w:t>
      </w:r>
      <w:r w:rsidR="00A65E3D">
        <w:t>“in”</w:t>
      </w:r>
      <w:r w:rsidR="00A65E3D" w:rsidRPr="00BD1029">
        <w:t xml:space="preserve"> a patient.</w:t>
      </w:r>
      <w:r w:rsidR="00A65E3D">
        <w:t xml:space="preserve"> </w:t>
      </w:r>
      <w:r w:rsidR="006611D3">
        <w:t>Under 21 CFR 812.3(p), however, the definition of a “research subject” includes use of a sample obtained from a person on which an investigational device is tested.</w:t>
      </w:r>
      <w:r w:rsidR="00A65E3D">
        <w:t xml:space="preserve"> </w:t>
      </w:r>
    </w:p>
    <w:p w14:paraId="228112C4" w14:textId="77777777" w:rsidR="0066030D" w:rsidRDefault="0066030D" w:rsidP="00A65E3D">
      <w:pPr>
        <w:widowControl w:val="0"/>
        <w:autoSpaceDE w:val="0"/>
        <w:autoSpaceDN w:val="0"/>
        <w:adjustRightInd w:val="0"/>
      </w:pPr>
    </w:p>
    <w:p w14:paraId="64B63B90" w14:textId="33EBF3EC" w:rsidR="00A65E3D" w:rsidRDefault="006611D3" w:rsidP="00A65E3D">
      <w:pPr>
        <w:widowControl w:val="0"/>
        <w:autoSpaceDE w:val="0"/>
        <w:autoSpaceDN w:val="0"/>
        <w:adjustRightInd w:val="0"/>
      </w:pPr>
      <w:r>
        <w:t xml:space="preserve">The risks </w:t>
      </w:r>
      <w:r w:rsidR="00614BC2">
        <w:t>of</w:t>
      </w:r>
      <w:r>
        <w:t xml:space="preserve"> testing an IVD</w:t>
      </w:r>
      <w:r w:rsidR="00885949">
        <w:t>D</w:t>
      </w:r>
      <w:r>
        <w:t xml:space="preserve"> includ</w:t>
      </w:r>
      <w:r w:rsidR="00E306B7">
        <w:t>e both</w:t>
      </w:r>
      <w:r>
        <w:t xml:space="preserve"> the risks of obtaining the sample </w:t>
      </w:r>
      <w:r w:rsidR="00E306B7">
        <w:t>and</w:t>
      </w:r>
      <w:r>
        <w:t xml:space="preserve"> the risks associated with using the results of the IVD</w:t>
      </w:r>
      <w:r w:rsidR="00885949">
        <w:t>D</w:t>
      </w:r>
      <w:r>
        <w:t>.  T</w:t>
      </w:r>
      <w:r w:rsidR="00BD07F8">
        <w:t>he</w:t>
      </w:r>
      <w:r w:rsidR="00614BC2">
        <w:t xml:space="preserve"> </w:t>
      </w:r>
      <w:r w:rsidR="00BD07F8">
        <w:t xml:space="preserve">severity of the </w:t>
      </w:r>
      <w:r w:rsidR="00E306B7">
        <w:t xml:space="preserve">risks </w:t>
      </w:r>
      <w:r w:rsidR="0066030D">
        <w:t xml:space="preserve">(potential for harm) </w:t>
      </w:r>
      <w:r w:rsidR="00E306B7">
        <w:t xml:space="preserve">determine </w:t>
      </w:r>
      <w:r>
        <w:t>what parts of 21 CFR 812 apply</w:t>
      </w:r>
      <w:r w:rsidR="00614BC2">
        <w:t xml:space="preserve"> to the study</w:t>
      </w:r>
      <w:r w:rsidR="006619E3">
        <w:t xml:space="preserve"> and what information subjects need to be given about the IVD</w:t>
      </w:r>
      <w:r w:rsidR="00885949">
        <w:t>D</w:t>
      </w:r>
      <w:r w:rsidR="006619E3">
        <w:t>.</w:t>
      </w:r>
    </w:p>
    <w:p w14:paraId="6E855FD4" w14:textId="77777777" w:rsidR="00531CD3" w:rsidRDefault="00531CD3" w:rsidP="00531CD3"/>
    <w:p w14:paraId="0DBA28C0" w14:textId="6F2C7C59" w:rsidR="00531CD3" w:rsidRPr="004C6B72" w:rsidRDefault="00885949" w:rsidP="004C6B72">
      <w:pPr>
        <w:pStyle w:val="ListParagraph"/>
        <w:numPr>
          <w:ilvl w:val="0"/>
          <w:numId w:val="10"/>
        </w:numPr>
        <w:tabs>
          <w:tab w:val="left" w:pos="450"/>
        </w:tabs>
        <w:ind w:left="360"/>
        <w:rPr>
          <w:b/>
        </w:rPr>
      </w:pPr>
      <w:r>
        <w:rPr>
          <w:b/>
        </w:rPr>
        <w:t>Is the use of an IVDD in the study</w:t>
      </w:r>
      <w:r w:rsidR="001A272F">
        <w:rPr>
          <w:b/>
        </w:rPr>
        <w:t xml:space="preserve"> </w:t>
      </w:r>
      <w:r w:rsidR="00EE5967">
        <w:rPr>
          <w:b/>
        </w:rPr>
        <w:t>subject to 21 CFR 812</w:t>
      </w:r>
      <w:r w:rsidR="00E424D5">
        <w:rPr>
          <w:b/>
        </w:rPr>
        <w:t>?</w:t>
      </w:r>
    </w:p>
    <w:p w14:paraId="44BEEFD3" w14:textId="5A1D41AF" w:rsidR="00EE5967" w:rsidRDefault="00637BC4" w:rsidP="00531CD3">
      <w:r w:rsidRPr="00637BC4">
        <w:t xml:space="preserve">A research study with </w:t>
      </w:r>
      <w:r>
        <w:t>one or more</w:t>
      </w:r>
      <w:r w:rsidRPr="00637BC4">
        <w:t xml:space="preserve"> </w:t>
      </w:r>
      <w:r>
        <w:t>objectives</w:t>
      </w:r>
      <w:r w:rsidRPr="00637BC4">
        <w:t xml:space="preserve"> to </w:t>
      </w:r>
      <w:r>
        <w:t>test</w:t>
      </w:r>
      <w:r w:rsidRPr="00637BC4">
        <w:t xml:space="preserve"> </w:t>
      </w:r>
      <w:r>
        <w:t xml:space="preserve">the </w:t>
      </w:r>
      <w:r w:rsidR="00E306B7">
        <w:t>safety</w:t>
      </w:r>
      <w:r>
        <w:t xml:space="preserve"> or effectiveness of </w:t>
      </w:r>
      <w:r w:rsidRPr="00637BC4">
        <w:t>an IVD</w:t>
      </w:r>
      <w:r w:rsidR="00885949">
        <w:t>D</w:t>
      </w:r>
      <w:r w:rsidRPr="00637BC4">
        <w:t xml:space="preserve"> is a device study</w:t>
      </w:r>
      <w:r>
        <w:t xml:space="preserve"> and is subject to 21 CFR 812.  </w:t>
      </w:r>
      <w:r w:rsidR="006619E3">
        <w:t xml:space="preserve">Under FDA guidance documents, this </w:t>
      </w:r>
      <w:r w:rsidR="00885949">
        <w:t>may include</w:t>
      </w:r>
      <w:r w:rsidR="006619E3">
        <w:t xml:space="preserve"> determining the performance characteristics of the IVD</w:t>
      </w:r>
      <w:r w:rsidR="00885949">
        <w:t>D</w:t>
      </w:r>
      <w:r w:rsidR="006619E3">
        <w:t>, comparing the usefulness of the IVD</w:t>
      </w:r>
      <w:r w:rsidR="00885949">
        <w:t>D</w:t>
      </w:r>
      <w:r w:rsidR="006619E3">
        <w:t xml:space="preserve"> to other available tests, and/or validating the utility of the IVD</w:t>
      </w:r>
      <w:r w:rsidR="00885949">
        <w:t>D</w:t>
      </w:r>
      <w:r w:rsidR="006619E3">
        <w:t xml:space="preserve">.  </w:t>
      </w:r>
    </w:p>
    <w:p w14:paraId="5CC9BF65" w14:textId="77777777" w:rsidR="001A272F" w:rsidRDefault="001A272F" w:rsidP="00531CD3"/>
    <w:p w14:paraId="069D2F42" w14:textId="224714A7" w:rsidR="00EE5967" w:rsidRDefault="006619E3" w:rsidP="00BD1029">
      <w:pPr>
        <w:pStyle w:val="ListParagraph"/>
        <w:numPr>
          <w:ilvl w:val="0"/>
          <w:numId w:val="10"/>
        </w:numPr>
        <w:tabs>
          <w:tab w:val="left" w:pos="450"/>
        </w:tabs>
        <w:ind w:left="360"/>
        <w:rPr>
          <w:b/>
        </w:rPr>
      </w:pPr>
      <w:r>
        <w:rPr>
          <w:b/>
        </w:rPr>
        <w:t>Does the study constitute basic research only</w:t>
      </w:r>
      <w:r w:rsidR="00EE5967" w:rsidRPr="004C6B72">
        <w:rPr>
          <w:b/>
        </w:rPr>
        <w:t>?</w:t>
      </w:r>
    </w:p>
    <w:p w14:paraId="43B0ADC7" w14:textId="19738A03" w:rsidR="001A272F" w:rsidRDefault="0080147A" w:rsidP="00BD1029">
      <w:pPr>
        <w:tabs>
          <w:tab w:val="left" w:pos="450"/>
        </w:tabs>
      </w:pPr>
      <w:r>
        <w:t xml:space="preserve">One </w:t>
      </w:r>
      <w:r w:rsidR="006619E3">
        <w:t xml:space="preserve">study </w:t>
      </w:r>
      <w:r>
        <w:t>objective</w:t>
      </w:r>
      <w:r w:rsidR="007419EE">
        <w:t xml:space="preserve"> often seen</w:t>
      </w:r>
      <w:r w:rsidR="00D35E0D">
        <w:t xml:space="preserve"> is to determine whether </w:t>
      </w:r>
      <w:r>
        <w:t xml:space="preserve">biomarkers </w:t>
      </w:r>
      <w:r w:rsidR="006619E3">
        <w:t xml:space="preserve">correlate </w:t>
      </w:r>
      <w:r>
        <w:t>with disease state</w:t>
      </w:r>
      <w:r w:rsidR="00D35E0D">
        <w:t xml:space="preserve">, </w:t>
      </w:r>
      <w:r w:rsidR="00885949">
        <w:t>treatment</w:t>
      </w:r>
      <w:r w:rsidR="00D35E0D">
        <w:t xml:space="preserve"> response,</w:t>
      </w:r>
      <w:r>
        <w:t xml:space="preserve"> or </w:t>
      </w:r>
      <w:r w:rsidR="00D35E0D">
        <w:t xml:space="preserve">risk of </w:t>
      </w:r>
      <w:r>
        <w:t xml:space="preserve">disease. Based on the study design some of </w:t>
      </w:r>
      <w:r w:rsidR="006619E3">
        <w:t>these</w:t>
      </w:r>
      <w:r>
        <w:t xml:space="preserve"> </w:t>
      </w:r>
      <w:r w:rsidR="006619E3">
        <w:t xml:space="preserve">may </w:t>
      </w:r>
      <w:r>
        <w:t xml:space="preserve">be considered ‘basic research’ </w:t>
      </w:r>
      <w:r w:rsidR="001F74E9">
        <w:t>(</w:t>
      </w:r>
      <w:r w:rsidR="001A272F" w:rsidRPr="001A272F">
        <w:t>not subject to 21 CFR 812</w:t>
      </w:r>
      <w:r w:rsidR="001F74E9">
        <w:t>)</w:t>
      </w:r>
      <w:r w:rsidR="001A272F" w:rsidRPr="001A272F">
        <w:t xml:space="preserve"> </w:t>
      </w:r>
      <w:r>
        <w:t>while others</w:t>
      </w:r>
      <w:r w:rsidR="001A272F" w:rsidRPr="001A272F">
        <w:t xml:space="preserve"> would be considered ‘development </w:t>
      </w:r>
      <w:r w:rsidR="00885949">
        <w:t xml:space="preserve">or testing </w:t>
      </w:r>
      <w:r w:rsidR="001A272F" w:rsidRPr="001A272F">
        <w:t>of a</w:t>
      </w:r>
      <w:r w:rsidR="00885949">
        <w:t>n IVDD</w:t>
      </w:r>
      <w:r w:rsidR="001A272F" w:rsidRPr="001A272F">
        <w:t xml:space="preserve">’ </w:t>
      </w:r>
      <w:r w:rsidR="001F74E9">
        <w:t>(</w:t>
      </w:r>
      <w:r w:rsidR="001A272F" w:rsidRPr="001A272F">
        <w:t>subject to 21 CFR 812</w:t>
      </w:r>
      <w:r w:rsidR="001F74E9">
        <w:t>)</w:t>
      </w:r>
      <w:r>
        <w:t>.</w:t>
      </w:r>
      <w:r w:rsidR="001A272F" w:rsidRPr="001A272F">
        <w:t xml:space="preserve"> The following examples </w:t>
      </w:r>
      <w:r w:rsidR="00885949">
        <w:t>illustrate ‘basic</w:t>
      </w:r>
      <w:r w:rsidR="001A272F" w:rsidRPr="001A272F">
        <w:t xml:space="preserve"> research’ versus ‘</w:t>
      </w:r>
      <w:r w:rsidR="00885949">
        <w:t>IVDD development or testing</w:t>
      </w:r>
      <w:r w:rsidR="001A272F" w:rsidRPr="001A272F">
        <w:t>’.</w:t>
      </w:r>
    </w:p>
    <w:p w14:paraId="32ADBEA3" w14:textId="77777777" w:rsidR="008A4F70" w:rsidRDefault="008A4F70" w:rsidP="00531CD3"/>
    <w:p w14:paraId="7DD92943" w14:textId="1A899C89" w:rsidR="00E1132A" w:rsidRPr="00BD1029" w:rsidRDefault="00E1132A" w:rsidP="00E1132A">
      <w:pPr>
        <w:pStyle w:val="ListParagraph"/>
        <w:numPr>
          <w:ilvl w:val="1"/>
          <w:numId w:val="4"/>
        </w:numPr>
        <w:spacing w:after="120"/>
        <w:contextualSpacing w:val="0"/>
        <w:rPr>
          <w:b/>
        </w:rPr>
      </w:pPr>
      <w:r>
        <w:t>A</w:t>
      </w:r>
      <w:r w:rsidRPr="00E1132A">
        <w:t xml:space="preserve">n investigator is collecting samples </w:t>
      </w:r>
      <w:r w:rsidR="00345D05">
        <w:t xml:space="preserve">as part of a drug, biologic or </w:t>
      </w:r>
      <w:r w:rsidR="0066030D">
        <w:t xml:space="preserve">other </w:t>
      </w:r>
      <w:r w:rsidR="00345D05">
        <w:t xml:space="preserve">study </w:t>
      </w:r>
      <w:r w:rsidRPr="00E1132A">
        <w:t xml:space="preserve">to determine if there are </w:t>
      </w:r>
      <w:r w:rsidR="00340884">
        <w:t>any biomarkers or biomarker combination</w:t>
      </w:r>
      <w:r w:rsidR="00F10956">
        <w:t>s</w:t>
      </w:r>
      <w:r w:rsidR="00340884">
        <w:t xml:space="preserve"> (</w:t>
      </w:r>
      <w:r w:rsidRPr="00E1132A">
        <w:t>“signatures”</w:t>
      </w:r>
      <w:r w:rsidR="00340884">
        <w:t>)</w:t>
      </w:r>
      <w:r w:rsidR="009973B2">
        <w:t xml:space="preserve"> </w:t>
      </w:r>
      <w:r w:rsidRPr="00E1132A">
        <w:t>that might correlate</w:t>
      </w:r>
      <w:r w:rsidR="005B176D">
        <w:t>, for example,</w:t>
      </w:r>
      <w:r w:rsidRPr="00E1132A">
        <w:t xml:space="preserve"> </w:t>
      </w:r>
      <w:r w:rsidR="00CE65F5">
        <w:t>with</w:t>
      </w:r>
      <w:r w:rsidRPr="00E1132A">
        <w:t xml:space="preserve"> a particular disease</w:t>
      </w:r>
      <w:r w:rsidR="006619E3">
        <w:t>, disease risk,</w:t>
      </w:r>
      <w:r w:rsidR="00340884">
        <w:t xml:space="preserve"> or </w:t>
      </w:r>
      <w:r w:rsidR="005B176D">
        <w:t>treatment response</w:t>
      </w:r>
      <w:r w:rsidRPr="00E1132A">
        <w:t xml:space="preserve">. </w:t>
      </w:r>
      <w:r w:rsidR="005B176D">
        <w:t xml:space="preserve">Biomarkers may include proteins, DNA, RNA, metabolites, and/or other </w:t>
      </w:r>
      <w:r w:rsidR="005B176D">
        <w:lastRenderedPageBreak/>
        <w:t xml:space="preserve">molecules found in the body.  </w:t>
      </w:r>
      <w:r>
        <w:t>T</w:t>
      </w:r>
      <w:r w:rsidRPr="00E1132A">
        <w:t xml:space="preserve">hese samples are merely being used for “fishing” and specific </w:t>
      </w:r>
      <w:r w:rsidR="00885949">
        <w:t>biomarkers</w:t>
      </w:r>
      <w:r w:rsidR="00885949" w:rsidRPr="00E1132A">
        <w:t xml:space="preserve"> </w:t>
      </w:r>
      <w:r w:rsidRPr="00E1132A">
        <w:t>have</w:t>
      </w:r>
      <w:r>
        <w:t xml:space="preserve"> not been previously identified</w:t>
      </w:r>
      <w:r w:rsidR="005B176D">
        <w:t xml:space="preserve"> and are not being evaluated</w:t>
      </w:r>
      <w:r>
        <w:t xml:space="preserve">. </w:t>
      </w:r>
      <w:r w:rsidR="00345D05" w:rsidRPr="00BD1029">
        <w:rPr>
          <w:b/>
        </w:rPr>
        <w:t>Th</w:t>
      </w:r>
      <w:r w:rsidR="00345D05">
        <w:rPr>
          <w:b/>
        </w:rPr>
        <w:t>is</w:t>
      </w:r>
      <w:r w:rsidR="00345D05" w:rsidRPr="00BD1029">
        <w:rPr>
          <w:b/>
        </w:rPr>
        <w:t xml:space="preserve"> </w:t>
      </w:r>
      <w:r w:rsidRPr="00BD1029">
        <w:rPr>
          <w:b/>
        </w:rPr>
        <w:t xml:space="preserve">type of </w:t>
      </w:r>
      <w:r w:rsidR="00345D05" w:rsidRPr="00BD1029">
        <w:rPr>
          <w:b/>
        </w:rPr>
        <w:t>stud</w:t>
      </w:r>
      <w:r w:rsidR="00345D05">
        <w:rPr>
          <w:b/>
        </w:rPr>
        <w:t>y</w:t>
      </w:r>
      <w:r w:rsidR="00345D05" w:rsidRPr="00BD1029">
        <w:rPr>
          <w:b/>
        </w:rPr>
        <w:t xml:space="preserve"> </w:t>
      </w:r>
      <w:r w:rsidRPr="00BD1029">
        <w:rPr>
          <w:b/>
        </w:rPr>
        <w:t xml:space="preserve">would be considered </w:t>
      </w:r>
      <w:r w:rsidR="00786279">
        <w:rPr>
          <w:b/>
        </w:rPr>
        <w:t xml:space="preserve">basic </w:t>
      </w:r>
      <w:r w:rsidRPr="00BD1029">
        <w:rPr>
          <w:b/>
        </w:rPr>
        <w:t xml:space="preserve">research and </w:t>
      </w:r>
      <w:r w:rsidR="005F608A">
        <w:rPr>
          <w:b/>
        </w:rPr>
        <w:t xml:space="preserve">thus </w:t>
      </w:r>
      <w:r w:rsidRPr="00BD1029">
        <w:rPr>
          <w:b/>
        </w:rPr>
        <w:t xml:space="preserve">not subject to 21 CFR 812. </w:t>
      </w:r>
    </w:p>
    <w:p w14:paraId="34B441A9" w14:textId="1B59A895" w:rsidR="00E1132A" w:rsidRDefault="00E1132A" w:rsidP="00345D05">
      <w:pPr>
        <w:pStyle w:val="ListParagraph"/>
        <w:numPr>
          <w:ilvl w:val="1"/>
          <w:numId w:val="4"/>
        </w:numPr>
        <w:spacing w:after="120"/>
        <w:contextualSpacing w:val="0"/>
        <w:rPr>
          <w:b/>
        </w:rPr>
      </w:pPr>
      <w:r>
        <w:t>A</w:t>
      </w:r>
      <w:r w:rsidRPr="00E1132A">
        <w:t xml:space="preserve">n investigator is collecting samples </w:t>
      </w:r>
      <w:r w:rsidR="00345D05" w:rsidRPr="00345D05">
        <w:t xml:space="preserve">as part of a drug, biologic or </w:t>
      </w:r>
      <w:r w:rsidR="0066030D">
        <w:t xml:space="preserve">other </w:t>
      </w:r>
      <w:r w:rsidR="00345D05" w:rsidRPr="00345D05">
        <w:t xml:space="preserve">study </w:t>
      </w:r>
      <w:r w:rsidR="00340884">
        <w:t>with the</w:t>
      </w:r>
      <w:r w:rsidRPr="00E1132A">
        <w:t xml:space="preserve"> objective to determine if </w:t>
      </w:r>
      <w:r w:rsidR="005B176D">
        <w:t xml:space="preserve">one or more </w:t>
      </w:r>
      <w:r w:rsidRPr="00B14BDC">
        <w:rPr>
          <w:u w:val="single"/>
        </w:rPr>
        <w:t>specific</w:t>
      </w:r>
      <w:r w:rsidRPr="00E1132A">
        <w:t xml:space="preserve"> biomarkers </w:t>
      </w:r>
      <w:r w:rsidR="00340884">
        <w:t>or biomarker combination (</w:t>
      </w:r>
      <w:r w:rsidR="007419EE">
        <w:t xml:space="preserve">i.e. </w:t>
      </w:r>
      <w:r w:rsidR="00340884" w:rsidRPr="00E1132A">
        <w:t>“signatures”</w:t>
      </w:r>
      <w:r w:rsidR="00340884">
        <w:t xml:space="preserve">) </w:t>
      </w:r>
      <w:r w:rsidRPr="00E1132A">
        <w:t>might correlate</w:t>
      </w:r>
      <w:r w:rsidR="005B176D">
        <w:t>, for example,</w:t>
      </w:r>
      <w:r w:rsidRPr="00E1132A">
        <w:t xml:space="preserve"> </w:t>
      </w:r>
      <w:r w:rsidR="005F608A">
        <w:t>with</w:t>
      </w:r>
      <w:r w:rsidR="005F608A" w:rsidRPr="00E1132A">
        <w:t xml:space="preserve"> </w:t>
      </w:r>
      <w:r w:rsidRPr="00E1132A">
        <w:t>a particular disease</w:t>
      </w:r>
      <w:r w:rsidR="005B176D">
        <w:t xml:space="preserve">, disease risk, or </w:t>
      </w:r>
      <w:r w:rsidRPr="00E1132A">
        <w:t xml:space="preserve"> </w:t>
      </w:r>
      <w:r w:rsidR="005B176D">
        <w:t xml:space="preserve"> treatment response</w:t>
      </w:r>
      <w:r w:rsidRPr="00E1132A">
        <w:t xml:space="preserve">. This example is different than the first in that </w:t>
      </w:r>
      <w:r w:rsidR="005B176D">
        <w:t xml:space="preserve">a </w:t>
      </w:r>
      <w:r w:rsidRPr="00B14BDC">
        <w:rPr>
          <w:u w:val="single"/>
        </w:rPr>
        <w:t>specific</w:t>
      </w:r>
      <w:r w:rsidRPr="00E1132A">
        <w:t xml:space="preserve"> </w:t>
      </w:r>
      <w:r w:rsidR="00340884">
        <w:t>biomarker</w:t>
      </w:r>
      <w:r w:rsidRPr="00E1132A">
        <w:t xml:space="preserve"> </w:t>
      </w:r>
      <w:r w:rsidR="005B176D">
        <w:t>has been</w:t>
      </w:r>
      <w:r w:rsidR="00340884">
        <w:t xml:space="preserve"> defined</w:t>
      </w:r>
      <w:r w:rsidR="005B176D">
        <w:t xml:space="preserve"> and is being evaluated</w:t>
      </w:r>
      <w:r w:rsidR="00340884">
        <w:t xml:space="preserve">. </w:t>
      </w:r>
      <w:r w:rsidRPr="00BD1029">
        <w:rPr>
          <w:b/>
        </w:rPr>
        <w:t>Th</w:t>
      </w:r>
      <w:r w:rsidR="00345D05">
        <w:rPr>
          <w:b/>
        </w:rPr>
        <w:t>is</w:t>
      </w:r>
      <w:r w:rsidRPr="00BD1029">
        <w:rPr>
          <w:b/>
        </w:rPr>
        <w:t xml:space="preserve"> </w:t>
      </w:r>
      <w:r w:rsidR="00345D05">
        <w:rPr>
          <w:b/>
        </w:rPr>
        <w:t xml:space="preserve">type of </w:t>
      </w:r>
      <w:r w:rsidRPr="00BD1029">
        <w:rPr>
          <w:b/>
        </w:rPr>
        <w:t>stud</w:t>
      </w:r>
      <w:r w:rsidR="00345D05">
        <w:rPr>
          <w:b/>
        </w:rPr>
        <w:t>y</w:t>
      </w:r>
      <w:r w:rsidRPr="00BD1029">
        <w:rPr>
          <w:b/>
        </w:rPr>
        <w:t xml:space="preserve"> </w:t>
      </w:r>
      <w:r w:rsidR="006F026F" w:rsidRPr="00BD1029">
        <w:rPr>
          <w:b/>
        </w:rPr>
        <w:t xml:space="preserve">would be </w:t>
      </w:r>
      <w:r w:rsidR="00345D05" w:rsidRPr="00345D05">
        <w:rPr>
          <w:b/>
        </w:rPr>
        <w:t xml:space="preserve">considered the development </w:t>
      </w:r>
      <w:r w:rsidR="00885949">
        <w:rPr>
          <w:b/>
        </w:rPr>
        <w:t xml:space="preserve">or testing </w:t>
      </w:r>
      <w:r w:rsidR="00345D05" w:rsidRPr="00345D05">
        <w:rPr>
          <w:b/>
        </w:rPr>
        <w:t xml:space="preserve">of </w:t>
      </w:r>
      <w:r w:rsidR="00885949">
        <w:rPr>
          <w:b/>
        </w:rPr>
        <w:t>an IVDD</w:t>
      </w:r>
      <w:r w:rsidR="00FA401B">
        <w:rPr>
          <w:b/>
        </w:rPr>
        <w:t xml:space="preserve"> </w:t>
      </w:r>
      <w:r w:rsidR="00345D05" w:rsidRPr="00345D05">
        <w:rPr>
          <w:b/>
        </w:rPr>
        <w:t xml:space="preserve">and </w:t>
      </w:r>
      <w:r w:rsidRPr="00BD1029">
        <w:rPr>
          <w:b/>
        </w:rPr>
        <w:t xml:space="preserve">subject to 21 CFR 812. </w:t>
      </w:r>
    </w:p>
    <w:p w14:paraId="35626AA6" w14:textId="31864688" w:rsidR="00B14BDC" w:rsidRDefault="00F10956" w:rsidP="008427EB">
      <w:pPr>
        <w:pStyle w:val="ListParagraph"/>
        <w:numPr>
          <w:ilvl w:val="1"/>
          <w:numId w:val="4"/>
        </w:numPr>
        <w:ind w:left="792"/>
        <w:contextualSpacing w:val="0"/>
      </w:pPr>
      <w:r w:rsidRPr="00EE5646">
        <w:t xml:space="preserve">The study includes the development of an In Vitro Diagnostic Multivariate Index Assay (IVDMIA). An IVDMIA is a </w:t>
      </w:r>
      <w:r w:rsidR="0066030D">
        <w:t xml:space="preserve">diagnostic </w:t>
      </w:r>
      <w:r w:rsidRPr="00EE5646">
        <w:t>device that “</w:t>
      </w:r>
      <w:r w:rsidR="005F608A">
        <w:t>c</w:t>
      </w:r>
      <w:r w:rsidRPr="00EE5646">
        <w:t>ombines the values of multiple variables using an interpretation function to yield a single, patient-specific result</w:t>
      </w:r>
      <w:r w:rsidR="002223A8">
        <w:t>”</w:t>
      </w:r>
      <w:r w:rsidRPr="00EE5646">
        <w:t xml:space="preserve"> (e.g. a “classification</w:t>
      </w:r>
      <w:r w:rsidR="005B176D">
        <w:t>,</w:t>
      </w:r>
      <w:r w:rsidRPr="00EE5646">
        <w:t>” “score</w:t>
      </w:r>
      <w:r w:rsidR="005B176D">
        <w:t>,</w:t>
      </w:r>
      <w:r w:rsidRPr="00EE5646">
        <w:t>” “index</w:t>
      </w:r>
      <w:r w:rsidR="005B176D">
        <w:t>,</w:t>
      </w:r>
      <w:r w:rsidRPr="00EE5646">
        <w:t>”</w:t>
      </w:r>
      <w:r w:rsidR="005B176D">
        <w:t>, “algorithm,”</w:t>
      </w:r>
      <w:r w:rsidRPr="00EE5646">
        <w:t xml:space="preserve"> etc.), that is intended for use in the diagnosis of </w:t>
      </w:r>
      <w:r w:rsidR="005B176D">
        <w:t xml:space="preserve">a </w:t>
      </w:r>
      <w:r w:rsidRPr="00EE5646">
        <w:t>disease or condition, or in the cure, mitigation, treatment or prevention”</w:t>
      </w:r>
      <w:r w:rsidR="00EE5646" w:rsidRPr="00EE5646">
        <w:t xml:space="preserve"> or it </w:t>
      </w:r>
      <w:r w:rsidRPr="00EE5646">
        <w:t>“</w:t>
      </w:r>
      <w:r w:rsidR="005F608A">
        <w:t>p</w:t>
      </w:r>
      <w:r w:rsidRPr="00EE5646">
        <w:t>rovides a result whose derivation is non-transparent and cannot be independently derived or verified by the end user</w:t>
      </w:r>
      <w:r w:rsidR="005B176D">
        <w:t>.</w:t>
      </w:r>
      <w:r w:rsidRPr="00EE5646">
        <w:t>”</w:t>
      </w:r>
      <w:r w:rsidR="00EE5646" w:rsidRPr="00EE5646">
        <w:t xml:space="preserve"> For example</w:t>
      </w:r>
      <w:r w:rsidR="005F608A">
        <w:t>,</w:t>
      </w:r>
      <w:r w:rsidR="00EE5646" w:rsidRPr="00EE5646">
        <w:t xml:space="preserve"> an </w:t>
      </w:r>
      <w:r w:rsidRPr="00EE5646">
        <w:t xml:space="preserve">investigator is </w:t>
      </w:r>
      <w:r w:rsidR="00EE5646" w:rsidRPr="00EE5646">
        <w:t xml:space="preserve">integrating quantitative results from multiple assays to obtain a qualitative “score” that predicts a person’s risk of developing a disease or condition. </w:t>
      </w:r>
      <w:r w:rsidR="005F608A">
        <w:rPr>
          <w:b/>
        </w:rPr>
        <w:t xml:space="preserve">This type of study </w:t>
      </w:r>
      <w:r w:rsidR="00EE5646" w:rsidRPr="00EE5646">
        <w:rPr>
          <w:b/>
        </w:rPr>
        <w:t xml:space="preserve">would be </w:t>
      </w:r>
      <w:r w:rsidR="00FA401B">
        <w:rPr>
          <w:b/>
        </w:rPr>
        <w:t xml:space="preserve">considered development </w:t>
      </w:r>
      <w:r w:rsidR="00885949">
        <w:rPr>
          <w:b/>
        </w:rPr>
        <w:t xml:space="preserve">or testing </w:t>
      </w:r>
      <w:r w:rsidR="00FA401B">
        <w:rPr>
          <w:b/>
        </w:rPr>
        <w:t xml:space="preserve">of </w:t>
      </w:r>
      <w:r w:rsidR="00885949">
        <w:rPr>
          <w:b/>
        </w:rPr>
        <w:t>an IVD</w:t>
      </w:r>
      <w:r w:rsidR="0066030D">
        <w:rPr>
          <w:b/>
        </w:rPr>
        <w:t>D</w:t>
      </w:r>
      <w:r w:rsidR="00FA401B">
        <w:rPr>
          <w:b/>
        </w:rPr>
        <w:t xml:space="preserve"> and thus </w:t>
      </w:r>
      <w:r w:rsidR="00EE5646" w:rsidRPr="00EE5646">
        <w:rPr>
          <w:b/>
        </w:rPr>
        <w:t>subject to 21 CFR 812.</w:t>
      </w:r>
      <w:r w:rsidR="00EE5646" w:rsidRPr="00EE5646">
        <w:t xml:space="preserve"> </w:t>
      </w:r>
    </w:p>
    <w:p w14:paraId="38382329" w14:textId="77777777" w:rsidR="0023174F" w:rsidRDefault="0023174F" w:rsidP="00BD1029">
      <w:pPr>
        <w:pStyle w:val="ListParagraph"/>
        <w:ind w:left="786"/>
        <w:rPr>
          <w:b/>
        </w:rPr>
      </w:pPr>
    </w:p>
    <w:p w14:paraId="5D2497BF" w14:textId="7E0F223B" w:rsidR="00944D55" w:rsidRDefault="00345D05" w:rsidP="00944D55">
      <w:r w:rsidRPr="00345D05">
        <w:t>If the study</w:t>
      </w:r>
      <w:r w:rsidR="00FA401B">
        <w:t>’s</w:t>
      </w:r>
      <w:r w:rsidRPr="00345D05">
        <w:t xml:space="preserve"> objective is to collect samples </w:t>
      </w:r>
      <w:r w:rsidR="002223A8">
        <w:t>for</w:t>
      </w:r>
      <w:r w:rsidRPr="00345D05">
        <w:t xml:space="preserve"> </w:t>
      </w:r>
      <w:r w:rsidR="00FA401B">
        <w:t xml:space="preserve">unspecified </w:t>
      </w:r>
      <w:r w:rsidRPr="00345D05">
        <w:t>future us</w:t>
      </w:r>
      <w:r w:rsidR="00FA401B">
        <w:t xml:space="preserve">e, </w:t>
      </w:r>
      <w:r w:rsidRPr="00345D05">
        <w:t xml:space="preserve">this would be considered </w:t>
      </w:r>
      <w:r w:rsidR="00342CF6">
        <w:t xml:space="preserve">basic </w:t>
      </w:r>
      <w:r w:rsidRPr="00345D05">
        <w:t>research (</w:t>
      </w:r>
      <w:r w:rsidR="002223A8">
        <w:t xml:space="preserve">e.g. a </w:t>
      </w:r>
      <w:r w:rsidRPr="00345D05">
        <w:t xml:space="preserve">biorepository) and not subject to 21 CFR 812.  </w:t>
      </w:r>
      <w:r w:rsidR="002223A8">
        <w:t xml:space="preserve">The use of such samples in later research may, however, be subject to </w:t>
      </w:r>
      <w:r w:rsidRPr="00345D05">
        <w:t xml:space="preserve">21 CFR 812 </w:t>
      </w:r>
      <w:r w:rsidR="002223A8">
        <w:t>as described above</w:t>
      </w:r>
      <w:r w:rsidRPr="00345D05">
        <w:t xml:space="preserve">. </w:t>
      </w:r>
      <w:r w:rsidR="00FA401B">
        <w:t>Consideration of t</w:t>
      </w:r>
      <w:r w:rsidRPr="00345D05">
        <w:t xml:space="preserve">he </w:t>
      </w:r>
      <w:r w:rsidR="002223A8">
        <w:t>IVD</w:t>
      </w:r>
      <w:r w:rsidR="0066030D">
        <w:t>D</w:t>
      </w:r>
      <w:r w:rsidR="002223A8">
        <w:t xml:space="preserve"> risks</w:t>
      </w:r>
      <w:r w:rsidR="00FA401B">
        <w:t>, including sampling method, wo</w:t>
      </w:r>
      <w:r w:rsidRPr="00345D05">
        <w:t xml:space="preserve">uld </w:t>
      </w:r>
      <w:r w:rsidR="00FA401B">
        <w:t xml:space="preserve">occur </w:t>
      </w:r>
      <w:r w:rsidRPr="00345D05">
        <w:t>in the context of the future study</w:t>
      </w:r>
      <w:r w:rsidR="00FA401B">
        <w:t xml:space="preserve"> when the samples are being used</w:t>
      </w:r>
      <w:r w:rsidRPr="00345D05">
        <w:t>.</w:t>
      </w:r>
    </w:p>
    <w:p w14:paraId="2D2C8177" w14:textId="77777777" w:rsidR="00345D05" w:rsidRDefault="00345D05" w:rsidP="00944D55"/>
    <w:p w14:paraId="040684DD" w14:textId="655BECF2" w:rsidR="0066030D" w:rsidRPr="008427EB" w:rsidRDefault="00FA401B" w:rsidP="008427EB">
      <w:pPr>
        <w:pStyle w:val="ListParagraph"/>
        <w:numPr>
          <w:ilvl w:val="0"/>
          <w:numId w:val="10"/>
        </w:numPr>
        <w:ind w:left="360"/>
        <w:rPr>
          <w:b/>
        </w:rPr>
      </w:pPr>
      <w:r>
        <w:rPr>
          <w:b/>
        </w:rPr>
        <w:t xml:space="preserve">What </w:t>
      </w:r>
      <w:r w:rsidR="002223A8">
        <w:rPr>
          <w:b/>
        </w:rPr>
        <w:t>happens if</w:t>
      </w:r>
      <w:r w:rsidR="00345D05">
        <w:rPr>
          <w:b/>
        </w:rPr>
        <w:t xml:space="preserve"> a</w:t>
      </w:r>
      <w:r w:rsidR="00345D05" w:rsidRPr="004C6B72">
        <w:rPr>
          <w:b/>
        </w:rPr>
        <w:t xml:space="preserve"> study </w:t>
      </w:r>
      <w:r w:rsidR="002223A8">
        <w:rPr>
          <w:b/>
        </w:rPr>
        <w:t>is</w:t>
      </w:r>
      <w:r>
        <w:rPr>
          <w:b/>
        </w:rPr>
        <w:t xml:space="preserve"> </w:t>
      </w:r>
      <w:r w:rsidR="00345D05">
        <w:rPr>
          <w:b/>
        </w:rPr>
        <w:t>subject to</w:t>
      </w:r>
      <w:r w:rsidR="00345D05" w:rsidRPr="004C6B72">
        <w:rPr>
          <w:b/>
        </w:rPr>
        <w:t xml:space="preserve"> 21 CFR 812</w:t>
      </w:r>
      <w:r w:rsidR="00DB32FC" w:rsidRPr="004C6B72">
        <w:rPr>
          <w:b/>
        </w:rPr>
        <w:t>?</w:t>
      </w:r>
    </w:p>
    <w:p w14:paraId="29EB4548" w14:textId="77777777" w:rsidR="008427EB" w:rsidRDefault="002223A8" w:rsidP="008427EB">
      <w:r>
        <w:t>If the FDA has not made a determination of the risk level of the study and</w:t>
      </w:r>
      <w:r w:rsidR="0066030D">
        <w:t>/or</w:t>
      </w:r>
      <w:r>
        <w:t xml:space="preserve"> what parts of 21 CFR 812 apply, the IRB must make this determination. </w:t>
      </w:r>
    </w:p>
    <w:p w14:paraId="6AA9034D" w14:textId="77777777" w:rsidR="008427EB" w:rsidRDefault="008427EB" w:rsidP="008427EB"/>
    <w:p w14:paraId="074C976B" w14:textId="31537B2C" w:rsidR="008427EB" w:rsidRPr="008427EB" w:rsidRDefault="008427EB" w:rsidP="008427EB">
      <w:pPr>
        <w:pStyle w:val="ListParagraph"/>
        <w:numPr>
          <w:ilvl w:val="0"/>
          <w:numId w:val="11"/>
        </w:numPr>
        <w:rPr>
          <w:b/>
        </w:rPr>
      </w:pPr>
      <w:r w:rsidRPr="008427EB">
        <w:rPr>
          <w:b/>
        </w:rPr>
        <w:t>Is the use of the device in the study IDE exempt?</w:t>
      </w:r>
    </w:p>
    <w:p w14:paraId="7345D937" w14:textId="03BD7285" w:rsidR="00944D55" w:rsidRDefault="00CE2C2E" w:rsidP="00923B69">
      <w:pPr>
        <w:spacing w:after="120"/>
      </w:pPr>
      <w:r>
        <w:t>D</w:t>
      </w:r>
      <w:r w:rsidR="00944D55">
        <w:t>iagnostic device</w:t>
      </w:r>
      <w:r w:rsidR="00FC249E">
        <w:t xml:space="preserve"> studies</w:t>
      </w:r>
      <w:r>
        <w:t xml:space="preserve"> are</w:t>
      </w:r>
      <w:r w:rsidR="00944D55">
        <w:t xml:space="preserve"> considered exempt from 21 CFR 812 </w:t>
      </w:r>
      <w:r>
        <w:t xml:space="preserve">(IDE regulations) </w:t>
      </w:r>
      <w:r w:rsidR="00944D55">
        <w:t xml:space="preserve">if the sponsor complies with applicable </w:t>
      </w:r>
      <w:r w:rsidR="009A1164">
        <w:t xml:space="preserve">labeling </w:t>
      </w:r>
      <w:r w:rsidR="00944D55">
        <w:t xml:space="preserve">requirements in 21 CFR §809.10(c) and </w:t>
      </w:r>
      <w:r w:rsidR="00944D55" w:rsidRPr="00BD1029">
        <w:rPr>
          <w:b/>
          <w:u w:val="single"/>
        </w:rPr>
        <w:t>all</w:t>
      </w:r>
      <w:r w:rsidR="00944D55">
        <w:t xml:space="preserve"> of the following criteria are </w:t>
      </w:r>
      <w:r>
        <w:t>met</w:t>
      </w:r>
      <w:r w:rsidR="00944D55">
        <w:t>:</w:t>
      </w:r>
    </w:p>
    <w:p w14:paraId="10ECAF54" w14:textId="68797390" w:rsidR="00CE2C2E" w:rsidRPr="00FC249E" w:rsidRDefault="00CE2C2E" w:rsidP="00E52D55">
      <w:pPr>
        <w:pStyle w:val="ListParagraph"/>
        <w:numPr>
          <w:ilvl w:val="0"/>
          <w:numId w:val="3"/>
        </w:numPr>
        <w:ind w:left="1080"/>
        <w:rPr>
          <w:b/>
        </w:rPr>
      </w:pPr>
      <w:r w:rsidRPr="00FC249E">
        <w:rPr>
          <w:b/>
        </w:rPr>
        <w:t>IVD</w:t>
      </w:r>
      <w:r w:rsidR="0066030D">
        <w:rPr>
          <w:b/>
        </w:rPr>
        <w:t>D</w:t>
      </w:r>
      <w:r w:rsidRPr="00FC249E">
        <w:rPr>
          <w:b/>
        </w:rPr>
        <w:t xml:space="preserve"> i</w:t>
      </w:r>
      <w:r w:rsidR="00944D55" w:rsidRPr="00FC249E">
        <w:rPr>
          <w:b/>
        </w:rPr>
        <w:t>s non-invasive.</w:t>
      </w:r>
      <w:r w:rsidRPr="00FC249E">
        <w:rPr>
          <w:b/>
        </w:rPr>
        <w:t xml:space="preserve"> </w:t>
      </w:r>
    </w:p>
    <w:p w14:paraId="446B2249" w14:textId="77777777" w:rsidR="007404E6" w:rsidRDefault="007404E6" w:rsidP="007404E6">
      <w:pPr>
        <w:ind w:left="1080"/>
      </w:pPr>
      <w:r>
        <w:t>A noninvasive device is one that:</w:t>
      </w:r>
    </w:p>
    <w:p w14:paraId="5D0F11ED" w14:textId="7C94B675" w:rsidR="007404E6" w:rsidRDefault="007404E6" w:rsidP="007404E6">
      <w:pPr>
        <w:pStyle w:val="ListParagraph"/>
        <w:numPr>
          <w:ilvl w:val="0"/>
          <w:numId w:val="8"/>
        </w:numPr>
        <w:ind w:left="1620"/>
      </w:pPr>
      <w:r>
        <w:t>Does not penetrate or pierce the skin or mucous membranes of the body, the ocular cavity or urethra; or,</w:t>
      </w:r>
    </w:p>
    <w:p w14:paraId="07D801DF" w14:textId="7DDF7974" w:rsidR="00EF2E19" w:rsidRDefault="007404E6" w:rsidP="00573F42">
      <w:pPr>
        <w:pStyle w:val="ListParagraph"/>
        <w:numPr>
          <w:ilvl w:val="0"/>
          <w:numId w:val="8"/>
        </w:numPr>
        <w:spacing w:after="120"/>
        <w:ind w:left="1627"/>
        <w:contextualSpacing w:val="0"/>
      </w:pPr>
      <w:r>
        <w:t xml:space="preserve">Does not enter the ear beyond the external auditory canal, the nose beyond the nares, the mouth beyond the pharynx, the anal canal </w:t>
      </w:r>
      <w:r w:rsidR="000D768F">
        <w:t>beyond the rectum or the vagina</w:t>
      </w:r>
      <w:r>
        <w:t xml:space="preserve"> beyond the cervical os. </w:t>
      </w:r>
    </w:p>
    <w:p w14:paraId="6ADC4971" w14:textId="165345A3" w:rsidR="00AA5D73" w:rsidRPr="00FC249E" w:rsidRDefault="001836A9" w:rsidP="00E52D55">
      <w:pPr>
        <w:pStyle w:val="ListParagraph"/>
        <w:numPr>
          <w:ilvl w:val="0"/>
          <w:numId w:val="3"/>
        </w:numPr>
        <w:ind w:left="1080"/>
        <w:rPr>
          <w:b/>
        </w:rPr>
      </w:pPr>
      <w:r w:rsidRPr="00FC249E">
        <w:rPr>
          <w:b/>
        </w:rPr>
        <w:t>The IVD</w:t>
      </w:r>
      <w:r w:rsidR="0066030D">
        <w:rPr>
          <w:b/>
        </w:rPr>
        <w:t>D</w:t>
      </w:r>
      <w:r w:rsidRPr="00FC249E">
        <w:rPr>
          <w:b/>
        </w:rPr>
        <w:t xml:space="preserve"> d</w:t>
      </w:r>
      <w:r w:rsidR="00944D55" w:rsidRPr="00FC249E">
        <w:rPr>
          <w:b/>
        </w:rPr>
        <w:t>oes not require an invasive sampling procedure that presents significant risk.</w:t>
      </w:r>
    </w:p>
    <w:p w14:paraId="4A062469" w14:textId="1C539D18" w:rsidR="00AA5D73" w:rsidRDefault="00CE2C2E" w:rsidP="007404E6">
      <w:pPr>
        <w:pStyle w:val="ListParagraph"/>
        <w:numPr>
          <w:ilvl w:val="0"/>
          <w:numId w:val="12"/>
        </w:numPr>
        <w:ind w:left="1620"/>
      </w:pPr>
      <w:r>
        <w:lastRenderedPageBreak/>
        <w:t xml:space="preserve">Noninvasive sampling is defined in the same way as </w:t>
      </w:r>
      <w:r w:rsidR="00EF2E19">
        <w:t xml:space="preserve">a </w:t>
      </w:r>
      <w:r>
        <w:t>noninvasive device</w:t>
      </w:r>
      <w:r w:rsidR="001836A9">
        <w:t>.</w:t>
      </w:r>
      <w:r w:rsidR="00EF2E19">
        <w:t xml:space="preserve"> </w:t>
      </w:r>
      <w:r w:rsidR="002223A8">
        <w:t>B</w:t>
      </w:r>
      <w:r w:rsidR="00EF2E19" w:rsidRPr="00EF2E19">
        <w:t xml:space="preserve">lood sampling that involves simple venipuncture is considered noninvasive, and the use of surplus samples of body fluids or tissues left over from </w:t>
      </w:r>
      <w:r w:rsidR="002223A8">
        <w:t>those</w:t>
      </w:r>
      <w:r w:rsidR="002223A8" w:rsidRPr="00EF2E19">
        <w:t xml:space="preserve"> </w:t>
      </w:r>
      <w:r w:rsidR="00EF2E19" w:rsidRPr="00EF2E19">
        <w:t>taken for non</w:t>
      </w:r>
      <w:r w:rsidR="00AA1DA8">
        <w:t>-</w:t>
      </w:r>
      <w:r w:rsidR="00EF2E19" w:rsidRPr="00EF2E19">
        <w:t>investigational purposes is also considered noninvasive (21 CFR 812.3(k)).</w:t>
      </w:r>
    </w:p>
    <w:p w14:paraId="3BB4643A" w14:textId="5E733EA5" w:rsidR="00A13905" w:rsidRDefault="001836A9" w:rsidP="007404E6">
      <w:pPr>
        <w:pStyle w:val="ListParagraph"/>
        <w:numPr>
          <w:ilvl w:val="0"/>
          <w:numId w:val="12"/>
        </w:numPr>
        <w:ind w:left="1620"/>
      </w:pPr>
      <w:r>
        <w:t xml:space="preserve">If </w:t>
      </w:r>
      <w:r w:rsidR="00572BA4">
        <w:t xml:space="preserve">the </w:t>
      </w:r>
      <w:r w:rsidR="002223A8">
        <w:t xml:space="preserve">testing of the </w:t>
      </w:r>
      <w:r>
        <w:t>IVD</w:t>
      </w:r>
      <w:r w:rsidR="0066030D">
        <w:t>D</w:t>
      </w:r>
      <w:r>
        <w:t xml:space="preserve"> requires invasive sampl</w:t>
      </w:r>
      <w:r w:rsidR="001171BA">
        <w:t xml:space="preserve">ing, it may still be considered IDE exempt if the sampling does not present a significant risk. </w:t>
      </w:r>
    </w:p>
    <w:p w14:paraId="00CB1022" w14:textId="55E9209F" w:rsidR="007404E6" w:rsidRDefault="007404E6" w:rsidP="00573F42">
      <w:pPr>
        <w:pStyle w:val="ListParagraph"/>
        <w:numPr>
          <w:ilvl w:val="1"/>
          <w:numId w:val="12"/>
        </w:numPr>
        <w:spacing w:after="120"/>
        <w:contextualSpacing w:val="0"/>
      </w:pPr>
      <w:r>
        <w:t xml:space="preserve">Risk determination for invasive sampling is based on the </w:t>
      </w:r>
      <w:r w:rsidR="00D66DBC">
        <w:t>potential</w:t>
      </w:r>
      <w:r>
        <w:t xml:space="preserve"> harm that may result from the sampling. </w:t>
      </w:r>
      <w:r w:rsidR="002223A8">
        <w:t xml:space="preserve"> </w:t>
      </w:r>
      <w:r w:rsidR="00D66DBC">
        <w:t xml:space="preserve">While the types of sampling that may constitute significant risk have not been specified in the regulations, </w:t>
      </w:r>
      <w:r>
        <w:t xml:space="preserve">FDA </w:t>
      </w:r>
      <w:r w:rsidR="00D66DBC">
        <w:t xml:space="preserve">guidance states </w:t>
      </w:r>
      <w:r>
        <w:t>sampling techniques that require the biopsy of a major organ, use of general anesthesia</w:t>
      </w:r>
      <w:r w:rsidR="008427EB">
        <w:t>,</w:t>
      </w:r>
      <w:r>
        <w:t xml:space="preserve"> or placement of a blood access line into an artery or large vein (subclavian, femoral, or iliac) present </w:t>
      </w:r>
      <w:r w:rsidR="00D66DBC">
        <w:t xml:space="preserve">a </w:t>
      </w:r>
      <w:r>
        <w:t>significant risk.</w:t>
      </w:r>
    </w:p>
    <w:p w14:paraId="0A2569CF" w14:textId="7B031370" w:rsidR="00944D55" w:rsidRDefault="001171BA" w:rsidP="00573F42">
      <w:pPr>
        <w:pStyle w:val="ListParagraph"/>
        <w:numPr>
          <w:ilvl w:val="0"/>
          <w:numId w:val="3"/>
        </w:numPr>
        <w:spacing w:after="120"/>
        <w:ind w:left="1166"/>
        <w:contextualSpacing w:val="0"/>
        <w:rPr>
          <w:b/>
        </w:rPr>
      </w:pPr>
      <w:r w:rsidRPr="00FC249E">
        <w:rPr>
          <w:b/>
        </w:rPr>
        <w:t>IVD</w:t>
      </w:r>
      <w:r w:rsidR="0066030D">
        <w:rPr>
          <w:b/>
        </w:rPr>
        <w:t>D</w:t>
      </w:r>
      <w:r w:rsidRPr="00FC249E">
        <w:rPr>
          <w:b/>
        </w:rPr>
        <w:t xml:space="preserve"> d</w:t>
      </w:r>
      <w:r w:rsidR="00944D55" w:rsidRPr="00FC249E">
        <w:rPr>
          <w:b/>
        </w:rPr>
        <w:t>oes not introduce</w:t>
      </w:r>
      <w:r w:rsidR="00D66DBC">
        <w:rPr>
          <w:b/>
        </w:rPr>
        <w:t>, by design or intention,</w:t>
      </w:r>
      <w:r w:rsidR="00944D55" w:rsidRPr="00FC249E">
        <w:rPr>
          <w:b/>
        </w:rPr>
        <w:t xml:space="preserve"> energy into a subject.</w:t>
      </w:r>
      <w:r w:rsidR="00572BA4">
        <w:rPr>
          <w:b/>
        </w:rPr>
        <w:t xml:space="preserve"> </w:t>
      </w:r>
    </w:p>
    <w:p w14:paraId="7373B20F" w14:textId="783F3E93" w:rsidR="00BD07F8" w:rsidRPr="007419EE" w:rsidRDefault="008427EB" w:rsidP="008427EB">
      <w:pPr>
        <w:pStyle w:val="ListParagraph"/>
        <w:numPr>
          <w:ilvl w:val="0"/>
          <w:numId w:val="22"/>
        </w:numPr>
        <w:spacing w:after="120"/>
        <w:contextualSpacing w:val="0"/>
      </w:pPr>
      <w:r>
        <w:t>‘</w:t>
      </w:r>
      <w:r w:rsidR="00BD07F8" w:rsidRPr="007419EE">
        <w:t>Energy</w:t>
      </w:r>
      <w:r>
        <w:t>’</w:t>
      </w:r>
      <w:r w:rsidR="00BD07F8" w:rsidRPr="007419EE">
        <w:t xml:space="preserve"> may include light, heat, sound, or radiation emitted by the IVD</w:t>
      </w:r>
      <w:r w:rsidR="0066030D">
        <w:t>D</w:t>
      </w:r>
      <w:r w:rsidR="00BD07F8" w:rsidRPr="007419EE">
        <w:t>.</w:t>
      </w:r>
    </w:p>
    <w:p w14:paraId="2381E8B9" w14:textId="673E79B7" w:rsidR="007E04B5" w:rsidRPr="00FC249E" w:rsidRDefault="001171BA" w:rsidP="00FC249E">
      <w:pPr>
        <w:pStyle w:val="ListParagraph"/>
        <w:numPr>
          <w:ilvl w:val="0"/>
          <w:numId w:val="3"/>
        </w:numPr>
        <w:ind w:left="1170"/>
        <w:rPr>
          <w:b/>
        </w:rPr>
      </w:pPr>
      <w:r w:rsidRPr="00FC249E">
        <w:rPr>
          <w:b/>
        </w:rPr>
        <w:t>IVD</w:t>
      </w:r>
      <w:r w:rsidR="0066030D">
        <w:rPr>
          <w:b/>
        </w:rPr>
        <w:t>D</w:t>
      </w:r>
      <w:r w:rsidRPr="00FC249E">
        <w:rPr>
          <w:b/>
        </w:rPr>
        <w:t xml:space="preserve"> w</w:t>
      </w:r>
      <w:r w:rsidR="00944D55" w:rsidRPr="00FC249E">
        <w:rPr>
          <w:b/>
        </w:rPr>
        <w:t>ill not be used as a diagnostic procedure without confirmation of the diagnosis by another, medically established diagnostic product or procedure.</w:t>
      </w:r>
    </w:p>
    <w:p w14:paraId="727C1BE3" w14:textId="77777777" w:rsidR="007E04B5" w:rsidRDefault="007E04B5" w:rsidP="00E52D55">
      <w:pPr>
        <w:pStyle w:val="ListParagraph"/>
        <w:numPr>
          <w:ilvl w:val="1"/>
          <w:numId w:val="14"/>
        </w:numPr>
        <w:ind w:left="2160"/>
      </w:pPr>
      <w:r>
        <w:t>As per the FDA guidance, this requirement is met if:</w:t>
      </w:r>
    </w:p>
    <w:p w14:paraId="7C3A8DA6" w14:textId="6CF47014" w:rsidR="007E04B5" w:rsidRPr="007E04B5" w:rsidRDefault="007E04B5" w:rsidP="00E52D55">
      <w:pPr>
        <w:pStyle w:val="ListParagraph"/>
        <w:widowControl w:val="0"/>
        <w:numPr>
          <w:ilvl w:val="2"/>
          <w:numId w:val="14"/>
        </w:numPr>
        <w:autoSpaceDE w:val="0"/>
        <w:autoSpaceDN w:val="0"/>
        <w:adjustRightInd w:val="0"/>
        <w:ind w:left="2520"/>
      </w:pPr>
      <w:r>
        <w:t xml:space="preserve">The </w:t>
      </w:r>
      <w:r w:rsidRPr="00BD1029">
        <w:t>test</w:t>
      </w:r>
      <w:r>
        <w:t xml:space="preserve"> </w:t>
      </w:r>
      <w:r w:rsidRPr="00BD1029">
        <w:t>results</w:t>
      </w:r>
      <w:r w:rsidRPr="007E04B5">
        <w:t xml:space="preserve"> </w:t>
      </w:r>
      <w:r>
        <w:t xml:space="preserve">do </w:t>
      </w:r>
      <w:r w:rsidRPr="00BD1029">
        <w:t>not influence patient</w:t>
      </w:r>
      <w:r>
        <w:t xml:space="preserve"> </w:t>
      </w:r>
      <w:r w:rsidRPr="00BD1029">
        <w:t>treatment or clinical management decisions before</w:t>
      </w:r>
      <w:r>
        <w:t xml:space="preserve"> </w:t>
      </w:r>
      <w:r w:rsidRPr="00BD1029">
        <w:t>the diagnosis is established by a medically</w:t>
      </w:r>
      <w:r>
        <w:t xml:space="preserve"> </w:t>
      </w:r>
      <w:r w:rsidRPr="00BD1029">
        <w:t>established product or procedure</w:t>
      </w:r>
      <w:r w:rsidR="001171BA">
        <w:t>.</w:t>
      </w:r>
    </w:p>
    <w:p w14:paraId="5858EFA8" w14:textId="2D507A93" w:rsidR="00944D55" w:rsidRDefault="007E04B5" w:rsidP="00E52D55">
      <w:pPr>
        <w:pStyle w:val="ListParagraph"/>
        <w:widowControl w:val="0"/>
        <w:numPr>
          <w:ilvl w:val="2"/>
          <w:numId w:val="14"/>
        </w:numPr>
        <w:autoSpaceDE w:val="0"/>
        <w:autoSpaceDN w:val="0"/>
        <w:adjustRightInd w:val="0"/>
        <w:ind w:left="2520"/>
      </w:pPr>
      <w:r w:rsidRPr="00BD1029">
        <w:t>If an investigational test uses a new technology or</w:t>
      </w:r>
      <w:r>
        <w:t xml:space="preserve"> </w:t>
      </w:r>
      <w:r w:rsidRPr="00BD1029">
        <w:t>represents a significant technological advance,</w:t>
      </w:r>
      <w:r>
        <w:t xml:space="preserve"> </w:t>
      </w:r>
      <w:r w:rsidRPr="00BD1029">
        <w:t>established diagnostic products or procedures may</w:t>
      </w:r>
      <w:r>
        <w:t xml:space="preserve"> </w:t>
      </w:r>
      <w:r w:rsidRPr="00BD1029">
        <w:t>not be adequate to confirm the diagnosis provided by</w:t>
      </w:r>
      <w:r>
        <w:t xml:space="preserve"> </w:t>
      </w:r>
      <w:r w:rsidRPr="007E04B5">
        <w:t>t</w:t>
      </w:r>
      <w:r w:rsidRPr="00BD1029">
        <w:t xml:space="preserve">he </w:t>
      </w:r>
      <w:r w:rsidRPr="007E04B5">
        <w:t>investigationa</w:t>
      </w:r>
      <w:r>
        <w:t>l IVD</w:t>
      </w:r>
      <w:r w:rsidR="0066030D">
        <w:t>D</w:t>
      </w:r>
      <w:r w:rsidR="001171BA">
        <w:t xml:space="preserve"> and</w:t>
      </w:r>
      <w:r>
        <w:t xml:space="preserve"> t</w:t>
      </w:r>
      <w:r w:rsidRPr="00BD1029">
        <w:t xml:space="preserve">he study </w:t>
      </w:r>
      <w:r w:rsidR="001171BA" w:rsidRPr="00BD1029">
        <w:t>cannot</w:t>
      </w:r>
      <w:r>
        <w:t xml:space="preserve"> </w:t>
      </w:r>
      <w:r w:rsidRPr="00BD1029">
        <w:t>be IDE exempt</w:t>
      </w:r>
      <w:r w:rsidR="001171BA">
        <w:t>.</w:t>
      </w:r>
      <w:r w:rsidR="00944D55">
        <w:tab/>
      </w:r>
    </w:p>
    <w:p w14:paraId="66EEE87B" w14:textId="77777777" w:rsidR="00CB1C36" w:rsidRDefault="00CB1C36" w:rsidP="00531CD3"/>
    <w:p w14:paraId="079FB70C" w14:textId="0C7A14AB" w:rsidR="009A1164" w:rsidRDefault="00661E69" w:rsidP="00F1418B">
      <w:pPr>
        <w:widowControl w:val="0"/>
      </w:pPr>
      <w:r>
        <w:t xml:space="preserve">If </w:t>
      </w:r>
      <w:r w:rsidR="00BD07F8">
        <w:t xml:space="preserve">all </w:t>
      </w:r>
      <w:r>
        <w:t xml:space="preserve">four exemption criteria are met, </w:t>
      </w:r>
      <w:r w:rsidR="003B38C8">
        <w:t xml:space="preserve">the </w:t>
      </w:r>
      <w:r>
        <w:t xml:space="preserve">study is considered IDE exempt. </w:t>
      </w:r>
      <w:r w:rsidR="009A1164">
        <w:t xml:space="preserve">The study may still FDA-regulated under 21 CFR 50 and 56, however, (and require IRB review and subject consent, for example) even 21 CFR 812 does not apply. </w:t>
      </w:r>
    </w:p>
    <w:p w14:paraId="0650EF78" w14:textId="77777777" w:rsidR="009A1164" w:rsidRDefault="009A1164" w:rsidP="00F1418B">
      <w:pPr>
        <w:widowControl w:val="0"/>
      </w:pPr>
    </w:p>
    <w:p w14:paraId="66399143" w14:textId="037B25E8" w:rsidR="00D75966" w:rsidRDefault="00661E69" w:rsidP="00F1418B">
      <w:pPr>
        <w:widowControl w:val="0"/>
      </w:pPr>
      <w:r>
        <w:t xml:space="preserve">If </w:t>
      </w:r>
      <w:r w:rsidR="003B38C8">
        <w:t xml:space="preserve">the </w:t>
      </w:r>
      <w:r>
        <w:t xml:space="preserve">study does not meet all </w:t>
      </w:r>
      <w:r w:rsidR="00B12B0F">
        <w:t>four</w:t>
      </w:r>
      <w:r>
        <w:t xml:space="preserve"> criteria, </w:t>
      </w:r>
      <w:r w:rsidR="003B38C8">
        <w:t xml:space="preserve">a determination </w:t>
      </w:r>
      <w:r w:rsidR="00BD07F8">
        <w:t xml:space="preserve">of the risk level of the </w:t>
      </w:r>
      <w:r w:rsidR="00885949">
        <w:t>device</w:t>
      </w:r>
      <w:r w:rsidR="00BD07F8">
        <w:t xml:space="preserve"> </w:t>
      </w:r>
      <w:r w:rsidR="00885949">
        <w:t xml:space="preserve">study </w:t>
      </w:r>
      <w:r w:rsidR="00BD07F8">
        <w:t>must be made</w:t>
      </w:r>
      <w:r w:rsidR="009A1164">
        <w:t xml:space="preserve"> (i.e. </w:t>
      </w:r>
      <w:r w:rsidR="008427EB">
        <w:t xml:space="preserve">whether </w:t>
      </w:r>
      <w:r w:rsidR="009A1164">
        <w:t>the use of the IVD</w:t>
      </w:r>
      <w:r w:rsidR="0066030D">
        <w:t>D</w:t>
      </w:r>
      <w:r w:rsidR="009A1164">
        <w:t xml:space="preserve"> in the study does or does not pose a significant risk)</w:t>
      </w:r>
      <w:r>
        <w:t xml:space="preserve">. </w:t>
      </w:r>
    </w:p>
    <w:p w14:paraId="4EE8F06E" w14:textId="77777777" w:rsidR="00D75966" w:rsidRDefault="00D75966" w:rsidP="00F1418B">
      <w:pPr>
        <w:widowControl w:val="0"/>
      </w:pPr>
    </w:p>
    <w:p w14:paraId="0EF53CB3" w14:textId="77777777" w:rsidR="001274E1" w:rsidRDefault="001274E1" w:rsidP="001274E1">
      <w:pPr>
        <w:widowControl w:val="0"/>
      </w:pPr>
      <w:r>
        <w:t>As a point of clarification, an IVDD is not likely to be considered a “custom device” as described in 812.2(b)(7) as one of the IDE exempt categories.  The definition of a “custom device” is provided below, and is more commonly associated with items produced to suit the specific (physical) needs of one patient, such as a modified prosthetic or dental implant.</w:t>
      </w:r>
    </w:p>
    <w:p w14:paraId="23A0F569" w14:textId="77777777" w:rsidR="001274E1" w:rsidRDefault="001274E1" w:rsidP="001274E1">
      <w:pPr>
        <w:widowControl w:val="0"/>
      </w:pPr>
    </w:p>
    <w:p w14:paraId="71264E3B" w14:textId="77777777" w:rsidR="001274E1" w:rsidRDefault="001274E1" w:rsidP="001274E1">
      <w:pPr>
        <w:widowControl w:val="0"/>
      </w:pPr>
      <w:r>
        <w:t>Custom device means a device that:</w:t>
      </w:r>
    </w:p>
    <w:p w14:paraId="659417E8" w14:textId="77777777" w:rsidR="001274E1" w:rsidRDefault="001274E1" w:rsidP="001274E1">
      <w:pPr>
        <w:widowControl w:val="0"/>
      </w:pPr>
      <w:r>
        <w:t>(1) Necessarily deviates from devices generally available or from an applicable performance standard or premarket approval requirement in order to comply with the order of an individual physician or dentist;</w:t>
      </w:r>
    </w:p>
    <w:p w14:paraId="7D65FD76" w14:textId="77777777" w:rsidR="001274E1" w:rsidRDefault="001274E1" w:rsidP="001274E1">
      <w:pPr>
        <w:widowControl w:val="0"/>
      </w:pPr>
      <w:r>
        <w:t>(2) Is not generally available to, or generally used by, other physicians or dentists;</w:t>
      </w:r>
    </w:p>
    <w:p w14:paraId="4CB9A46F" w14:textId="77777777" w:rsidR="001274E1" w:rsidRDefault="001274E1" w:rsidP="001274E1">
      <w:pPr>
        <w:widowControl w:val="0"/>
      </w:pPr>
      <w:r>
        <w:lastRenderedPageBreak/>
        <w:t>(3) Is not generally available in finished form for purchase or for dispensing upon prescription;</w:t>
      </w:r>
    </w:p>
    <w:p w14:paraId="08E606E0" w14:textId="77777777" w:rsidR="001274E1" w:rsidRDefault="001274E1" w:rsidP="001274E1">
      <w:pPr>
        <w:widowControl w:val="0"/>
      </w:pPr>
      <w:r>
        <w:t>(4) Is not offered for commercial distribution through labeling or advertising; and</w:t>
      </w:r>
    </w:p>
    <w:p w14:paraId="71100168" w14:textId="7BA27CF6" w:rsidR="001274E1" w:rsidRDefault="001274E1" w:rsidP="001274E1">
      <w:pPr>
        <w:widowControl w:val="0"/>
      </w:pPr>
      <w:r>
        <w:t>(5) Is intended for use by an individual patient named in the order of a physician or dentist, and is to be made in a specific form for that patient, or is intended to meet the special needs of the physician or dentist in the course of professional practice.</w:t>
      </w:r>
    </w:p>
    <w:p w14:paraId="70F3835A" w14:textId="77777777" w:rsidR="001274E1" w:rsidRDefault="001274E1" w:rsidP="001274E1">
      <w:pPr>
        <w:widowControl w:val="0"/>
      </w:pPr>
    </w:p>
    <w:p w14:paraId="4A725FBE" w14:textId="5D6069E3" w:rsidR="00741DDD" w:rsidRDefault="00FC249E" w:rsidP="00BD1029">
      <w:pPr>
        <w:pStyle w:val="ListParagraph"/>
        <w:widowControl w:val="0"/>
        <w:numPr>
          <w:ilvl w:val="0"/>
          <w:numId w:val="11"/>
        </w:numPr>
      </w:pPr>
      <w:r>
        <w:rPr>
          <w:b/>
        </w:rPr>
        <w:t xml:space="preserve">If the </w:t>
      </w:r>
      <w:r w:rsidR="002C11D0">
        <w:rPr>
          <w:b/>
        </w:rPr>
        <w:t>study is not exempt</w:t>
      </w:r>
      <w:r>
        <w:rPr>
          <w:b/>
        </w:rPr>
        <w:t xml:space="preserve">, </w:t>
      </w:r>
      <w:r w:rsidR="00D561F5">
        <w:rPr>
          <w:b/>
        </w:rPr>
        <w:t xml:space="preserve">can the study be run under </w:t>
      </w:r>
      <w:r w:rsidR="00D75966" w:rsidRPr="00D75966">
        <w:rPr>
          <w:b/>
        </w:rPr>
        <w:t>an abbreviated</w:t>
      </w:r>
      <w:r w:rsidR="001171BA">
        <w:rPr>
          <w:b/>
        </w:rPr>
        <w:t xml:space="preserve"> IDE</w:t>
      </w:r>
      <w:r w:rsidR="00D75966" w:rsidRPr="00D75966">
        <w:rPr>
          <w:b/>
        </w:rPr>
        <w:t xml:space="preserve"> or</w:t>
      </w:r>
      <w:r>
        <w:rPr>
          <w:b/>
        </w:rPr>
        <w:t xml:space="preserve"> does it require a</w:t>
      </w:r>
      <w:r w:rsidR="0080193B">
        <w:rPr>
          <w:b/>
        </w:rPr>
        <w:t>n</w:t>
      </w:r>
      <w:r>
        <w:rPr>
          <w:b/>
        </w:rPr>
        <w:t xml:space="preserve"> </w:t>
      </w:r>
      <w:r w:rsidR="00D75966" w:rsidRPr="00D75966">
        <w:rPr>
          <w:b/>
        </w:rPr>
        <w:t>IDE</w:t>
      </w:r>
      <w:r w:rsidR="0066030D">
        <w:rPr>
          <w:b/>
        </w:rPr>
        <w:t xml:space="preserve"> application to the FDA</w:t>
      </w:r>
      <w:r w:rsidR="00D75966" w:rsidRPr="00D75966">
        <w:rPr>
          <w:b/>
        </w:rPr>
        <w:t>?</w:t>
      </w:r>
    </w:p>
    <w:p w14:paraId="7FAD6640" w14:textId="2C4700A6" w:rsidR="00CC1C48" w:rsidRDefault="00661E69" w:rsidP="00F1418B">
      <w:pPr>
        <w:widowControl w:val="0"/>
      </w:pPr>
      <w:r>
        <w:t xml:space="preserve">The </w:t>
      </w:r>
      <w:r w:rsidR="00FC249E">
        <w:t>determination of whether a study will require</w:t>
      </w:r>
      <w:r>
        <w:t xml:space="preserve"> an IDE </w:t>
      </w:r>
      <w:r w:rsidR="0066030D">
        <w:t xml:space="preserve">application to the FDA </w:t>
      </w:r>
      <w:r>
        <w:t xml:space="preserve">is based on the risk </w:t>
      </w:r>
      <w:r w:rsidR="00FC249E">
        <w:t xml:space="preserve">to </w:t>
      </w:r>
      <w:r w:rsidR="00616094">
        <w:t xml:space="preserve">subjects </w:t>
      </w:r>
      <w:r w:rsidR="00FC249E">
        <w:t>in</w:t>
      </w:r>
      <w:r>
        <w:t xml:space="preserve"> the study</w:t>
      </w:r>
      <w:r w:rsidR="00FC249E">
        <w:t>. T</w:t>
      </w:r>
      <w:r w:rsidR="00F1418B">
        <w:t xml:space="preserve">his requires an assessment of whether or not </w:t>
      </w:r>
      <w:r w:rsidR="0005786C">
        <w:t xml:space="preserve">the </w:t>
      </w:r>
      <w:r w:rsidR="00616094">
        <w:t xml:space="preserve">device as used in the </w:t>
      </w:r>
      <w:r w:rsidR="00F1418B">
        <w:t>study</w:t>
      </w:r>
      <w:r w:rsidR="00D75966">
        <w:t xml:space="preserve"> </w:t>
      </w:r>
      <w:r w:rsidR="00F1418B">
        <w:t>is consider</w:t>
      </w:r>
      <w:r w:rsidR="000D768F">
        <w:t>ed</w:t>
      </w:r>
      <w:r w:rsidR="00F1418B">
        <w:t xml:space="preserve"> </w:t>
      </w:r>
      <w:r w:rsidR="00616094">
        <w:t>Non-Significant Risk (NSR) or Significant Risk (SR).</w:t>
      </w:r>
      <w:r w:rsidR="00CC1C48">
        <w:t xml:space="preserve"> If the FDA has not made this assessment, the IRB must determine the risk level of the study.  </w:t>
      </w:r>
    </w:p>
    <w:p w14:paraId="4CDF662C" w14:textId="77777777" w:rsidR="00CC1C48" w:rsidRDefault="00CC1C48" w:rsidP="00F1418B">
      <w:pPr>
        <w:widowControl w:val="0"/>
      </w:pPr>
    </w:p>
    <w:p w14:paraId="315F7BEE" w14:textId="4ADA7D08" w:rsidR="00CC1C48" w:rsidRDefault="00CC1C48" w:rsidP="00F1418B">
      <w:pPr>
        <w:widowControl w:val="0"/>
      </w:pPr>
      <w:r>
        <w:t>If the study is SR, and IDE application to the FDA is required and the IDE must be in effect prior to IRB approval.</w:t>
      </w:r>
    </w:p>
    <w:p w14:paraId="37221A0D" w14:textId="77777777" w:rsidR="00CC1C48" w:rsidRDefault="00CC1C48" w:rsidP="00F1418B">
      <w:pPr>
        <w:widowControl w:val="0"/>
      </w:pPr>
    </w:p>
    <w:p w14:paraId="7C50482D" w14:textId="30587516" w:rsidR="00CC1C48" w:rsidRDefault="00CC1C48" w:rsidP="00F1418B">
      <w:pPr>
        <w:widowControl w:val="0"/>
      </w:pPr>
      <w:r>
        <w:t xml:space="preserve">If the sponsor is submitting the study as NSR without a determination from the FDA, the sponsor should provide a rationale for why the study is NSR (under 21 CFR 812.2(b)(ii)) prior to IRB approval. </w:t>
      </w:r>
    </w:p>
    <w:p w14:paraId="2BB1538F" w14:textId="77777777" w:rsidR="00CC1C48" w:rsidRDefault="00CC1C48" w:rsidP="00F1418B">
      <w:pPr>
        <w:widowControl w:val="0"/>
      </w:pPr>
    </w:p>
    <w:p w14:paraId="7ED675E1" w14:textId="00A7E7B9" w:rsidR="00741DDD" w:rsidRDefault="00741DDD" w:rsidP="00F1418B">
      <w:pPr>
        <w:widowControl w:val="0"/>
      </w:pPr>
      <w:r>
        <w:t xml:space="preserve">If the IRB </w:t>
      </w:r>
      <w:r w:rsidR="00CC1C48">
        <w:t>determines the study is</w:t>
      </w:r>
      <w:r w:rsidR="0005786C">
        <w:t xml:space="preserve"> </w:t>
      </w:r>
      <w:r>
        <w:t xml:space="preserve">NSR, the study </w:t>
      </w:r>
      <w:r w:rsidR="00CC1C48">
        <w:t xml:space="preserve">is considered to have an approved IDE under the abbreviated requirements of 21 CFR 812.2 </w:t>
      </w:r>
      <w:r w:rsidR="008427EB">
        <w:t>and</w:t>
      </w:r>
      <w:r w:rsidR="00CC1C48">
        <w:t xml:space="preserve"> no IDE application to the FDA is needed.</w:t>
      </w:r>
    </w:p>
    <w:p w14:paraId="7DF837F4" w14:textId="77777777" w:rsidR="001171BA" w:rsidRDefault="001171BA" w:rsidP="00F1418B">
      <w:pPr>
        <w:widowControl w:val="0"/>
      </w:pPr>
    </w:p>
    <w:p w14:paraId="51E73BAE" w14:textId="46FCBA03" w:rsidR="00B12B0F" w:rsidRDefault="00741DDD" w:rsidP="00F1418B">
      <w:pPr>
        <w:widowControl w:val="0"/>
      </w:pPr>
      <w:r>
        <w:t xml:space="preserve">If the IRB and sponsor disagree </w:t>
      </w:r>
      <w:r w:rsidR="0005786C">
        <w:t xml:space="preserve">regarding </w:t>
      </w:r>
      <w:r>
        <w:t xml:space="preserve">the SR/NSR assessment, the </w:t>
      </w:r>
      <w:r w:rsidR="00B12B0F">
        <w:t xml:space="preserve">FDA </w:t>
      </w:r>
      <w:r>
        <w:t xml:space="preserve">can </w:t>
      </w:r>
      <w:r w:rsidR="00AA1DA8">
        <w:t>assist</w:t>
      </w:r>
      <w:r w:rsidR="00B12B0F">
        <w:t xml:space="preserve"> in making the risk determination. If sent to the FDA for review, the risk determination made by the FDA is final.</w:t>
      </w:r>
      <w:r w:rsidR="00AA1DA8">
        <w:t xml:space="preserve"> The most common way of soliciting FDA feedback is through a NSR/SR risk determination Q-submission.</w:t>
      </w:r>
      <w:r w:rsidR="00B12B0F">
        <w:t xml:space="preserve"> </w:t>
      </w:r>
    </w:p>
    <w:p w14:paraId="6F7A4F27" w14:textId="77777777" w:rsidR="00F1418B" w:rsidRDefault="00F1418B" w:rsidP="00F1418B">
      <w:pPr>
        <w:rPr>
          <w:u w:val="single"/>
        </w:rPr>
      </w:pPr>
    </w:p>
    <w:p w14:paraId="55FF027C" w14:textId="4C5D73E4" w:rsidR="00F1418B" w:rsidRDefault="0078303D" w:rsidP="00F1418B">
      <w:pPr>
        <w:rPr>
          <w:b/>
        </w:rPr>
      </w:pPr>
      <w:r>
        <w:rPr>
          <w:b/>
        </w:rPr>
        <w:t>4</w:t>
      </w:r>
      <w:r w:rsidR="00C0357A" w:rsidRPr="00BD1029">
        <w:rPr>
          <w:b/>
        </w:rPr>
        <w:t xml:space="preserve">. </w:t>
      </w:r>
      <w:r w:rsidR="00F1418B" w:rsidRPr="00BD1029">
        <w:rPr>
          <w:b/>
        </w:rPr>
        <w:t xml:space="preserve">What are the considerations for determining if </w:t>
      </w:r>
      <w:r w:rsidR="008427EB">
        <w:rPr>
          <w:b/>
        </w:rPr>
        <w:t>use of the device in the study poses</w:t>
      </w:r>
      <w:r w:rsidR="00F1418B" w:rsidRPr="00BD1029">
        <w:rPr>
          <w:b/>
        </w:rPr>
        <w:t xml:space="preserve"> a “significant risk” </w:t>
      </w:r>
      <w:r w:rsidR="00DF001E">
        <w:rPr>
          <w:b/>
        </w:rPr>
        <w:t>(SR)</w:t>
      </w:r>
      <w:r w:rsidR="00F1418B" w:rsidRPr="00BD1029">
        <w:rPr>
          <w:b/>
        </w:rPr>
        <w:t>?</w:t>
      </w:r>
    </w:p>
    <w:p w14:paraId="3833C5C0" w14:textId="77777777" w:rsidR="008427EB" w:rsidRPr="00BD1029" w:rsidRDefault="008427EB" w:rsidP="00F1418B">
      <w:pPr>
        <w:rPr>
          <w:b/>
        </w:rPr>
      </w:pPr>
    </w:p>
    <w:p w14:paraId="3224161E" w14:textId="447156A2" w:rsidR="00C0357A" w:rsidRDefault="00C0357A" w:rsidP="002A11C6">
      <w:pPr>
        <w:pStyle w:val="NormalWeb"/>
        <w:spacing w:before="0" w:beforeAutospacing="0" w:after="0" w:afterAutospacing="0"/>
      </w:pPr>
      <w:r>
        <w:rPr>
          <w:rFonts w:ascii="TimesNewRoman" w:hAnsi="TimesNewRoman"/>
          <w:sz w:val="24"/>
          <w:szCs w:val="24"/>
        </w:rPr>
        <w:t xml:space="preserve">Under 21 CFR 812.3(m), </w:t>
      </w:r>
      <w:r w:rsidR="00DF001E">
        <w:rPr>
          <w:rFonts w:ascii="TimesNewRoman" w:hAnsi="TimesNewRoman"/>
          <w:sz w:val="24"/>
          <w:szCs w:val="24"/>
        </w:rPr>
        <w:t>an SR device</w:t>
      </w:r>
      <w:r>
        <w:rPr>
          <w:rFonts w:ascii="TimesNewRoman" w:hAnsi="TimesNewRoman"/>
          <w:sz w:val="24"/>
          <w:szCs w:val="24"/>
        </w:rPr>
        <w:t xml:space="preserve">: </w:t>
      </w:r>
    </w:p>
    <w:p w14:paraId="72947A33" w14:textId="77777777" w:rsidR="00C0357A" w:rsidRPr="00BD1029" w:rsidRDefault="00C0357A" w:rsidP="002A11C6">
      <w:pPr>
        <w:pStyle w:val="NormalWeb"/>
        <w:numPr>
          <w:ilvl w:val="0"/>
          <w:numId w:val="20"/>
        </w:numPr>
        <w:spacing w:before="0" w:beforeAutospacing="0" w:after="0" w:afterAutospacing="0"/>
      </w:pPr>
      <w:r>
        <w:rPr>
          <w:rFonts w:ascii="TimesNewRoman" w:hAnsi="TimesNewRoman"/>
          <w:sz w:val="24"/>
          <w:szCs w:val="24"/>
        </w:rPr>
        <w:t>Is intended as an implant and presents a potential for serious risk to the health, safety, or welfare of a subject;</w:t>
      </w:r>
    </w:p>
    <w:p w14:paraId="1BC2DA87" w14:textId="77777777" w:rsidR="00C0357A" w:rsidRPr="00BD1029" w:rsidRDefault="00C0357A" w:rsidP="00F10956">
      <w:pPr>
        <w:pStyle w:val="NormalWeb"/>
        <w:numPr>
          <w:ilvl w:val="0"/>
          <w:numId w:val="20"/>
        </w:numPr>
      </w:pPr>
      <w:r>
        <w:rPr>
          <w:rFonts w:ascii="TimesNewRoman" w:hAnsi="TimesNewRoman"/>
          <w:sz w:val="24"/>
          <w:szCs w:val="24"/>
        </w:rPr>
        <w:t>Is purported or represented to be for use supporting or sustaining human life and presents a potential for serious risk to the health, safety, or welfare of a subject;</w:t>
      </w:r>
    </w:p>
    <w:p w14:paraId="5A308E66" w14:textId="1569C211" w:rsidR="00C0357A" w:rsidRPr="00BD1029" w:rsidRDefault="00C0357A" w:rsidP="00F10956">
      <w:pPr>
        <w:pStyle w:val="NormalWeb"/>
        <w:numPr>
          <w:ilvl w:val="0"/>
          <w:numId w:val="20"/>
        </w:numPr>
      </w:pPr>
      <w:r w:rsidRPr="007419EE">
        <w:rPr>
          <w:rFonts w:ascii="TimesNewRoman" w:hAnsi="TimesNewRoman"/>
          <w:sz w:val="24"/>
          <w:szCs w:val="24"/>
        </w:rPr>
        <w:t>Is for a use of substantial importance in diagnosing, curing, mitigating, or treating disease, or otherwise preventing impairment of human health and presents a potential for serious risk to the health, safety, or welfare of a subject;</w:t>
      </w:r>
      <w:r>
        <w:rPr>
          <w:rFonts w:ascii="TimesNewRoman" w:hAnsi="TimesNewRoman"/>
          <w:sz w:val="24"/>
          <w:szCs w:val="24"/>
        </w:rPr>
        <w:t xml:space="preserve"> </w:t>
      </w:r>
      <w:r w:rsidRPr="007419EE">
        <w:rPr>
          <w:rFonts w:ascii="TimesNewRoman" w:hAnsi="TimesNewRoman"/>
          <w:sz w:val="24"/>
          <w:szCs w:val="24"/>
          <w:u w:val="single"/>
        </w:rPr>
        <w:t>or</w:t>
      </w:r>
    </w:p>
    <w:p w14:paraId="2D7159BC" w14:textId="13D3CB1B" w:rsidR="00C0357A" w:rsidRDefault="00C0357A" w:rsidP="00F10956">
      <w:pPr>
        <w:pStyle w:val="NormalWeb"/>
        <w:numPr>
          <w:ilvl w:val="0"/>
          <w:numId w:val="20"/>
        </w:numPr>
      </w:pPr>
      <w:r>
        <w:rPr>
          <w:rFonts w:ascii="TimesNewRoman" w:hAnsi="TimesNewRoman"/>
          <w:sz w:val="24"/>
          <w:szCs w:val="24"/>
        </w:rPr>
        <w:t xml:space="preserve">Otherwise presents a potential for serious risk to the health, safety, or welfare of a subject. </w:t>
      </w:r>
    </w:p>
    <w:p w14:paraId="3681B785" w14:textId="7D1C1AB9" w:rsidR="00C0357A" w:rsidRDefault="00114D93" w:rsidP="00195543">
      <w:pPr>
        <w:widowControl w:val="0"/>
      </w:pPr>
      <w:r>
        <w:t xml:space="preserve">The </w:t>
      </w:r>
      <w:r w:rsidR="00DF001E">
        <w:t>risks</w:t>
      </w:r>
      <w:r w:rsidR="005C03E6">
        <w:t xml:space="preserve"> </w:t>
      </w:r>
      <w:r>
        <w:t>of an IVD</w:t>
      </w:r>
      <w:r w:rsidR="00DF001E">
        <w:t>D</w:t>
      </w:r>
      <w:r>
        <w:t xml:space="preserve"> </w:t>
      </w:r>
      <w:r w:rsidR="008427EB">
        <w:t>come from the sampling procedure and/</w:t>
      </w:r>
      <w:r w:rsidR="00DF001E">
        <w:t xml:space="preserve">or </w:t>
      </w:r>
      <w:r w:rsidR="008427EB">
        <w:t xml:space="preserve">the </w:t>
      </w:r>
      <w:r>
        <w:t>decisions made based on the results of the IVD</w:t>
      </w:r>
      <w:r w:rsidR="00DF001E">
        <w:t xml:space="preserve"> testing</w:t>
      </w:r>
      <w:r>
        <w:t>.</w:t>
      </w:r>
      <w:r w:rsidR="00297016">
        <w:t xml:space="preserve"> </w:t>
      </w:r>
      <w:r w:rsidR="00DF001E">
        <w:t>The</w:t>
      </w:r>
      <w:r w:rsidR="009B008B">
        <w:t xml:space="preserve"> </w:t>
      </w:r>
      <w:r w:rsidR="00C0357A">
        <w:t>FDA guidance</w:t>
      </w:r>
      <w:r>
        <w:t xml:space="preserve"> </w:t>
      </w:r>
      <w:r w:rsidR="00297016">
        <w:t>(</w:t>
      </w:r>
      <w:hyperlink r:id="rId7" w:history="1">
        <w:r w:rsidR="00297016" w:rsidRPr="002A11C6">
          <w:rPr>
            <w:rStyle w:val="Hyperlink"/>
          </w:rPr>
          <w:t>http://www.fda.gov/downloads/RegulatoryInformation/Guidances/UCM126418.pdf</w:t>
        </w:r>
      </w:hyperlink>
      <w:r w:rsidR="008427EB">
        <w:t>)</w:t>
      </w:r>
      <w:r w:rsidR="00297016">
        <w:t xml:space="preserve"> </w:t>
      </w:r>
      <w:r w:rsidR="00DF001E">
        <w:t xml:space="preserve">describes the following considerations for </w:t>
      </w:r>
      <w:r>
        <w:t xml:space="preserve">making the </w:t>
      </w:r>
      <w:r w:rsidR="00297016">
        <w:t xml:space="preserve">NSR/SR </w:t>
      </w:r>
      <w:r w:rsidR="008427EB">
        <w:t>determination</w:t>
      </w:r>
      <w:r w:rsidR="00C0357A">
        <w:t>:</w:t>
      </w:r>
    </w:p>
    <w:p w14:paraId="32F1B603" w14:textId="42D80B3A" w:rsidR="0023174F" w:rsidRDefault="00C0357A" w:rsidP="00BD1029">
      <w:pPr>
        <w:pStyle w:val="NormalWeb"/>
        <w:numPr>
          <w:ilvl w:val="0"/>
          <w:numId w:val="19"/>
        </w:numPr>
        <w:rPr>
          <w:rFonts w:ascii="Times New Roman" w:eastAsia="Times New Roman" w:hAnsi="Times New Roman"/>
          <w:sz w:val="24"/>
          <w:szCs w:val="24"/>
        </w:rPr>
      </w:pPr>
      <w:r w:rsidRPr="00BD1029">
        <w:rPr>
          <w:rFonts w:ascii="Times New Roman" w:eastAsia="Times New Roman" w:hAnsi="Times New Roman"/>
          <w:sz w:val="24"/>
          <w:szCs w:val="24"/>
        </w:rPr>
        <w:lastRenderedPageBreak/>
        <w:t xml:space="preserve">The risk determination is based on the proposed use of a device in an investigation and not on the device alone. </w:t>
      </w:r>
      <w:r w:rsidR="0023174F" w:rsidRPr="00BD1029">
        <w:rPr>
          <w:rFonts w:ascii="Times New Roman" w:eastAsia="Times New Roman" w:hAnsi="Times New Roman"/>
          <w:sz w:val="24"/>
          <w:szCs w:val="24"/>
        </w:rPr>
        <w:t xml:space="preserve">Therefore, the risk associated with the study as a whole, and not just </w:t>
      </w:r>
      <w:r w:rsidR="004432D0">
        <w:rPr>
          <w:rFonts w:ascii="Times New Roman" w:eastAsia="Times New Roman" w:hAnsi="Times New Roman"/>
          <w:sz w:val="24"/>
          <w:szCs w:val="24"/>
        </w:rPr>
        <w:t xml:space="preserve">the </w:t>
      </w:r>
      <w:r w:rsidR="0023174F" w:rsidRPr="00BD1029">
        <w:rPr>
          <w:rFonts w:ascii="Times New Roman" w:eastAsia="Times New Roman" w:hAnsi="Times New Roman"/>
          <w:sz w:val="24"/>
          <w:szCs w:val="24"/>
        </w:rPr>
        <w:t>risk associated with the device itself</w:t>
      </w:r>
      <w:r w:rsidR="005C03E6">
        <w:rPr>
          <w:rFonts w:ascii="Times New Roman" w:eastAsia="Times New Roman" w:hAnsi="Times New Roman"/>
          <w:sz w:val="24"/>
          <w:szCs w:val="24"/>
        </w:rPr>
        <w:t>,</w:t>
      </w:r>
      <w:r w:rsidR="00F10956" w:rsidRPr="00F10956">
        <w:rPr>
          <w:rFonts w:ascii="Times New Roman" w:eastAsia="Times New Roman" w:hAnsi="Times New Roman"/>
          <w:sz w:val="24"/>
          <w:szCs w:val="24"/>
        </w:rPr>
        <w:t xml:space="preserve"> </w:t>
      </w:r>
      <w:r w:rsidR="00F10956">
        <w:rPr>
          <w:rFonts w:ascii="Times New Roman" w:eastAsia="Times New Roman" w:hAnsi="Times New Roman"/>
          <w:sz w:val="24"/>
          <w:szCs w:val="24"/>
        </w:rPr>
        <w:t xml:space="preserve">should be </w:t>
      </w:r>
      <w:r w:rsidR="00F10956" w:rsidRPr="00BD1029">
        <w:rPr>
          <w:rFonts w:ascii="Times New Roman" w:eastAsia="Times New Roman" w:hAnsi="Times New Roman" w:hint="eastAsia"/>
          <w:sz w:val="24"/>
          <w:szCs w:val="24"/>
        </w:rPr>
        <w:t>evaluate</w:t>
      </w:r>
      <w:r w:rsidR="00F10956">
        <w:rPr>
          <w:rFonts w:ascii="Times New Roman" w:eastAsia="Times New Roman" w:hAnsi="Times New Roman"/>
          <w:sz w:val="24"/>
          <w:szCs w:val="24"/>
        </w:rPr>
        <w:t>d</w:t>
      </w:r>
      <w:r w:rsidR="0023174F" w:rsidRPr="00BD1029">
        <w:rPr>
          <w:rFonts w:ascii="Times New Roman" w:eastAsia="Times New Roman" w:hAnsi="Times New Roman"/>
          <w:sz w:val="24"/>
          <w:szCs w:val="24"/>
        </w:rPr>
        <w:t>. The same device can be used in two different protocols and</w:t>
      </w:r>
      <w:r w:rsidR="00DF001E">
        <w:rPr>
          <w:rFonts w:ascii="Times New Roman" w:eastAsia="Times New Roman" w:hAnsi="Times New Roman"/>
          <w:sz w:val="24"/>
          <w:szCs w:val="24"/>
        </w:rPr>
        <w:t>,</w:t>
      </w:r>
      <w:r w:rsidR="0023174F" w:rsidRPr="00BD1029">
        <w:rPr>
          <w:rFonts w:ascii="Times New Roman" w:eastAsia="Times New Roman" w:hAnsi="Times New Roman"/>
          <w:sz w:val="24"/>
          <w:szCs w:val="24"/>
        </w:rPr>
        <w:t xml:space="preserve"> base</w:t>
      </w:r>
      <w:r w:rsidR="00F10956">
        <w:rPr>
          <w:rFonts w:ascii="Times New Roman" w:eastAsia="Times New Roman" w:hAnsi="Times New Roman"/>
          <w:sz w:val="24"/>
          <w:szCs w:val="24"/>
        </w:rPr>
        <w:t>d</w:t>
      </w:r>
      <w:r w:rsidR="0023174F" w:rsidRPr="00BD1029">
        <w:rPr>
          <w:rFonts w:ascii="Times New Roman" w:eastAsia="Times New Roman" w:hAnsi="Times New Roman"/>
          <w:sz w:val="24"/>
          <w:szCs w:val="24"/>
        </w:rPr>
        <w:t xml:space="preserve"> on </w:t>
      </w:r>
      <w:r w:rsidR="00D01119" w:rsidRPr="00BD1029">
        <w:rPr>
          <w:rFonts w:ascii="Times New Roman" w:eastAsia="Times New Roman" w:hAnsi="Times New Roman"/>
          <w:sz w:val="24"/>
          <w:szCs w:val="24"/>
        </w:rPr>
        <w:t>how</w:t>
      </w:r>
      <w:r w:rsidR="0023174F" w:rsidRPr="00BD1029">
        <w:rPr>
          <w:rFonts w:ascii="Times New Roman" w:eastAsia="Times New Roman" w:hAnsi="Times New Roman"/>
          <w:sz w:val="24"/>
          <w:szCs w:val="24"/>
        </w:rPr>
        <w:t xml:space="preserve"> it is used</w:t>
      </w:r>
      <w:r w:rsidR="00DF001E">
        <w:rPr>
          <w:rFonts w:ascii="Times New Roman" w:eastAsia="Times New Roman" w:hAnsi="Times New Roman"/>
          <w:sz w:val="24"/>
          <w:szCs w:val="24"/>
        </w:rPr>
        <w:t>,</w:t>
      </w:r>
      <w:r w:rsidR="0023174F" w:rsidRPr="00BD1029">
        <w:rPr>
          <w:rFonts w:ascii="Times New Roman" w:eastAsia="Times New Roman" w:hAnsi="Times New Roman"/>
          <w:sz w:val="24"/>
          <w:szCs w:val="24"/>
        </w:rPr>
        <w:t xml:space="preserve"> one study can be considered SR, while the other </w:t>
      </w:r>
      <w:r w:rsidR="00DF001E">
        <w:rPr>
          <w:rFonts w:ascii="Times New Roman" w:eastAsia="Times New Roman" w:hAnsi="Times New Roman"/>
          <w:sz w:val="24"/>
          <w:szCs w:val="24"/>
        </w:rPr>
        <w:t xml:space="preserve">study </w:t>
      </w:r>
      <w:r w:rsidR="00F10956" w:rsidRPr="00BD1029">
        <w:rPr>
          <w:rFonts w:ascii="Times New Roman" w:eastAsia="Times New Roman" w:hAnsi="Times New Roman"/>
          <w:sz w:val="24"/>
          <w:szCs w:val="24"/>
        </w:rPr>
        <w:t>c</w:t>
      </w:r>
      <w:r w:rsidR="00F10956">
        <w:rPr>
          <w:rFonts w:ascii="Times New Roman" w:eastAsia="Times New Roman" w:hAnsi="Times New Roman"/>
          <w:sz w:val="24"/>
          <w:szCs w:val="24"/>
        </w:rPr>
        <w:t>ould</w:t>
      </w:r>
      <w:r w:rsidR="00F10956" w:rsidRPr="00BD1029">
        <w:rPr>
          <w:rFonts w:ascii="Times New Roman" w:eastAsia="Times New Roman" w:hAnsi="Times New Roman"/>
          <w:sz w:val="24"/>
          <w:szCs w:val="24"/>
        </w:rPr>
        <w:t xml:space="preserve"> </w:t>
      </w:r>
      <w:r w:rsidR="0023174F" w:rsidRPr="00BD1029">
        <w:rPr>
          <w:rFonts w:ascii="Times New Roman" w:eastAsia="Times New Roman" w:hAnsi="Times New Roman"/>
          <w:sz w:val="24"/>
          <w:szCs w:val="24"/>
        </w:rPr>
        <w:t xml:space="preserve">be NSR. </w:t>
      </w:r>
    </w:p>
    <w:p w14:paraId="7C30F061" w14:textId="3E0F3178" w:rsidR="00C0357A" w:rsidRDefault="00DF001E" w:rsidP="00BD1029">
      <w:pPr>
        <w:pStyle w:val="ListParagraph"/>
        <w:widowControl w:val="0"/>
        <w:numPr>
          <w:ilvl w:val="0"/>
          <w:numId w:val="16"/>
        </w:numPr>
      </w:pPr>
      <w:r>
        <w:t>A</w:t>
      </w:r>
      <w:r w:rsidR="005C03E6">
        <w:t xml:space="preserve">ny </w:t>
      </w:r>
      <w:r w:rsidR="00C0357A">
        <w:t>additional procedure</w:t>
      </w:r>
      <w:r w:rsidR="005C03E6">
        <w:t>s</w:t>
      </w:r>
      <w:r w:rsidR="00C0357A">
        <w:t xml:space="preserve"> such as surgery, prolonged anesthesia</w:t>
      </w:r>
      <w:r w:rsidR="0023174F">
        <w:t xml:space="preserve">, </w:t>
      </w:r>
      <w:r w:rsidR="00C637A2">
        <w:t xml:space="preserve">radiation exposure, </w:t>
      </w:r>
      <w:r w:rsidR="0023174F">
        <w:t>prolonged hospitalization</w:t>
      </w:r>
      <w:r>
        <w:t>,</w:t>
      </w:r>
      <w:r w:rsidR="00C0357A">
        <w:t xml:space="preserve"> etc., </w:t>
      </w:r>
      <w:r>
        <w:t xml:space="preserve">required </w:t>
      </w:r>
      <w:r w:rsidR="0023174F">
        <w:t xml:space="preserve">for </w:t>
      </w:r>
      <w:r w:rsidR="005C03E6">
        <w:t xml:space="preserve">the </w:t>
      </w:r>
      <w:r w:rsidR="0023174F">
        <w:t>evaluation of the IVD</w:t>
      </w:r>
      <w:r>
        <w:t>D should be considered</w:t>
      </w:r>
      <w:r w:rsidR="0023174F">
        <w:t>.</w:t>
      </w:r>
      <w:r w:rsidR="00C0357A">
        <w:t xml:space="preserve"> </w:t>
      </w:r>
    </w:p>
    <w:p w14:paraId="5B90EEBF" w14:textId="77777777" w:rsidR="00C0357A" w:rsidRDefault="00C0357A" w:rsidP="005C1279">
      <w:pPr>
        <w:widowControl w:val="0"/>
      </w:pPr>
    </w:p>
    <w:p w14:paraId="605E216A" w14:textId="0A7C1D51" w:rsidR="00F10956" w:rsidRDefault="00F10956" w:rsidP="00F10956">
      <w:pPr>
        <w:pStyle w:val="ListParagraph"/>
        <w:numPr>
          <w:ilvl w:val="0"/>
          <w:numId w:val="16"/>
        </w:numPr>
      </w:pPr>
      <w:r>
        <w:t>The risk of an</w:t>
      </w:r>
      <w:r w:rsidR="00DF001E">
        <w:t>y</w:t>
      </w:r>
      <w:r>
        <w:t xml:space="preserve"> invasive sampling procedure should be evaluated</w:t>
      </w:r>
      <w:r w:rsidR="00DF001E">
        <w:t>, for example;</w:t>
      </w:r>
      <w:r>
        <w:t xml:space="preserve">: </w:t>
      </w:r>
    </w:p>
    <w:p w14:paraId="2575336A" w14:textId="11D3EFB9" w:rsidR="00F10956" w:rsidRDefault="00F10956" w:rsidP="008427EB">
      <w:pPr>
        <w:pStyle w:val="ListParagraph"/>
        <w:numPr>
          <w:ilvl w:val="1"/>
          <w:numId w:val="16"/>
        </w:numPr>
      </w:pPr>
      <w:r>
        <w:t xml:space="preserve">Is the sample collected for research purposes only? </w:t>
      </w:r>
    </w:p>
    <w:p w14:paraId="31B78631" w14:textId="239589ED" w:rsidR="00F10956" w:rsidRDefault="00F10956" w:rsidP="00F10956">
      <w:pPr>
        <w:pStyle w:val="ListParagraph"/>
        <w:numPr>
          <w:ilvl w:val="1"/>
          <w:numId w:val="16"/>
        </w:numPr>
      </w:pPr>
      <w:r>
        <w:t xml:space="preserve">Is the sampling </w:t>
      </w:r>
      <w:r w:rsidR="00725AF3">
        <w:t xml:space="preserve">from </w:t>
      </w:r>
      <w:r>
        <w:t xml:space="preserve">the biopsy of a major organ or </w:t>
      </w:r>
      <w:r w:rsidR="00DF001E">
        <w:t>obtained under general anesthesia</w:t>
      </w:r>
      <w:r>
        <w:t xml:space="preserve">? </w:t>
      </w:r>
    </w:p>
    <w:p w14:paraId="6454E3B7" w14:textId="77777777" w:rsidR="00D36EE4" w:rsidRDefault="00D36EE4" w:rsidP="00D36EE4">
      <w:pPr>
        <w:pStyle w:val="ListParagraph"/>
        <w:ind w:left="1440"/>
      </w:pPr>
    </w:p>
    <w:p w14:paraId="05D64811" w14:textId="64A5DE5F" w:rsidR="005C1279" w:rsidRDefault="00F10956" w:rsidP="005C1279">
      <w:pPr>
        <w:pStyle w:val="ListParagraph"/>
        <w:numPr>
          <w:ilvl w:val="0"/>
          <w:numId w:val="7"/>
        </w:numPr>
      </w:pPr>
      <w:r>
        <w:t>T</w:t>
      </w:r>
      <w:r w:rsidR="000709D3">
        <w:t>he</w:t>
      </w:r>
      <w:r w:rsidR="005C1279">
        <w:t xml:space="preserve"> potential for misdiagnosis and/or error in treatment caused by inaccurate test results that could be life-threatening or could result in permanent impairment of a body function or permanent damage to the body structure</w:t>
      </w:r>
      <w:r>
        <w:t xml:space="preserve"> should be evaluated</w:t>
      </w:r>
      <w:r w:rsidR="000709D3">
        <w:t>. For example:</w:t>
      </w:r>
    </w:p>
    <w:p w14:paraId="08975C0B" w14:textId="77777777" w:rsidR="005C1279" w:rsidRDefault="005C1279" w:rsidP="005C1279">
      <w:pPr>
        <w:pStyle w:val="ListParagraph"/>
        <w:numPr>
          <w:ilvl w:val="1"/>
          <w:numId w:val="7"/>
        </w:numPr>
      </w:pPr>
      <w:r>
        <w:t>False positive results can lead to unnecessary confirmatory testing, unnecessary treatment that can be invasive or have harmful side effects, and/or unnecessary psychological trauma when serious or life-threatening diseases or conditions are involved.</w:t>
      </w:r>
    </w:p>
    <w:p w14:paraId="31B2B763" w14:textId="77777777" w:rsidR="005C1279" w:rsidRDefault="005C1279" w:rsidP="005C1279">
      <w:pPr>
        <w:pStyle w:val="ListParagraph"/>
        <w:numPr>
          <w:ilvl w:val="1"/>
          <w:numId w:val="7"/>
        </w:numPr>
        <w:contextualSpacing w:val="0"/>
      </w:pPr>
      <w:r>
        <w:t>False negatives can result in a delay in establishing the correct diagnosis, failure to start or continue needed treatment, prevent timely follow-up and retesting and contribute to the potential spread of infectious agents to others.</w:t>
      </w:r>
    </w:p>
    <w:p w14:paraId="1EEC8BEC" w14:textId="77777777" w:rsidR="00272047" w:rsidRDefault="00272047" w:rsidP="001F74E9">
      <w:pPr>
        <w:rPr>
          <w:u w:val="single"/>
        </w:rPr>
      </w:pPr>
    </w:p>
    <w:p w14:paraId="73C0A856" w14:textId="77777777" w:rsidR="00272047" w:rsidRDefault="00272047" w:rsidP="001F74E9">
      <w:pPr>
        <w:rPr>
          <w:u w:val="single"/>
        </w:rPr>
      </w:pPr>
    </w:p>
    <w:p w14:paraId="4106CFA5" w14:textId="3E50E23A" w:rsidR="00272047" w:rsidRDefault="00691EB5" w:rsidP="001F74E9">
      <w:pPr>
        <w:rPr>
          <w:b/>
          <w:color w:val="FF0000"/>
          <w:u w:val="single"/>
        </w:rPr>
      </w:pPr>
      <w:r w:rsidRPr="008427EB">
        <w:rPr>
          <w:b/>
          <w:u w:val="single"/>
        </w:rPr>
        <w:t xml:space="preserve">If </w:t>
      </w:r>
      <w:r w:rsidR="008427EB">
        <w:rPr>
          <w:b/>
          <w:u w:val="single"/>
        </w:rPr>
        <w:t>the study is run under an</w:t>
      </w:r>
      <w:r w:rsidRPr="008427EB">
        <w:rPr>
          <w:b/>
          <w:u w:val="single"/>
        </w:rPr>
        <w:t xml:space="preserve"> IND, do I need to submit an IDE</w:t>
      </w:r>
      <w:r w:rsidR="008427EB">
        <w:rPr>
          <w:b/>
          <w:u w:val="single"/>
        </w:rPr>
        <w:t xml:space="preserve"> application to the FDA</w:t>
      </w:r>
      <w:r w:rsidRPr="008427EB">
        <w:rPr>
          <w:b/>
          <w:u w:val="single"/>
        </w:rPr>
        <w:t>?</w:t>
      </w:r>
    </w:p>
    <w:p w14:paraId="0D7F9CBC" w14:textId="77777777" w:rsidR="008B3308" w:rsidRDefault="008B3308" w:rsidP="00951EA1">
      <w:pPr>
        <w:widowControl w:val="0"/>
      </w:pPr>
    </w:p>
    <w:p w14:paraId="4558AC17" w14:textId="0E135AF7" w:rsidR="00E82FDD" w:rsidRDefault="008B3308" w:rsidP="000F32DF">
      <w:r>
        <w:t>If the study is being conducted under an IND and involves a device, the determination of whether your study is subject to 21 CFR 812 remains the same as described above. If the use of the device in the study does not meet IDE exemption criteria, the sponsor should provide a rationale for why the use of the device does not pose a significant risk. If the use of the device meets the definition of significant risk, the sponsor should provide either the IDE number or confirmation that the FDA device section (CDRH) has agreed to oversee the testing of the device under the IND application.</w:t>
      </w:r>
    </w:p>
    <w:p w14:paraId="0F1DA41E" w14:textId="77777777" w:rsidR="00293056" w:rsidRDefault="00293056" w:rsidP="000F32DF">
      <w:pPr>
        <w:rPr>
          <w:u w:val="single"/>
        </w:rPr>
      </w:pPr>
    </w:p>
    <w:p w14:paraId="0723A582" w14:textId="77777777" w:rsidR="000F32DF" w:rsidRDefault="000F32DF" w:rsidP="000F32DF">
      <w:pPr>
        <w:rPr>
          <w:u w:val="single"/>
        </w:rPr>
      </w:pPr>
      <w:r w:rsidRPr="00AA1DA8">
        <w:rPr>
          <w:u w:val="single"/>
        </w:rPr>
        <w:t>References:</w:t>
      </w:r>
    </w:p>
    <w:p w14:paraId="7D912D90" w14:textId="77777777" w:rsidR="000F32DF" w:rsidRPr="00272047" w:rsidRDefault="00473486" w:rsidP="000F32DF">
      <w:pPr>
        <w:rPr>
          <w:i/>
          <w:u w:val="single"/>
        </w:rPr>
      </w:pPr>
      <w:hyperlink r:id="rId8" w:history="1">
        <w:r w:rsidR="000F32DF" w:rsidRPr="00272047">
          <w:rPr>
            <w:rStyle w:val="Hyperlink"/>
          </w:rPr>
          <w:t>http://www.fda.gov/downloads/RegulatoryInformation/Guidances/UCM127067.pdf</w:t>
        </w:r>
      </w:hyperlink>
    </w:p>
    <w:p w14:paraId="458DD623" w14:textId="77777777" w:rsidR="000F32DF" w:rsidRDefault="000F32DF" w:rsidP="000F32DF">
      <w:pPr>
        <w:rPr>
          <w:u w:val="single"/>
        </w:rPr>
      </w:pPr>
    </w:p>
    <w:p w14:paraId="6D5CDB0C" w14:textId="77777777" w:rsidR="000F32DF" w:rsidRPr="00272047" w:rsidRDefault="00473486" w:rsidP="000F32DF">
      <w:pPr>
        <w:rPr>
          <w:i/>
          <w:u w:val="single"/>
        </w:rPr>
      </w:pPr>
      <w:hyperlink r:id="rId9" w:history="1">
        <w:r w:rsidR="000F32DF" w:rsidRPr="00272047">
          <w:rPr>
            <w:rStyle w:val="Hyperlink"/>
          </w:rPr>
          <w:t>http://www.fda.gov/downloads/MedicalDevices/DeviceRegulationandGuidance/GuidanceDocuments/UCM071230.pdf</w:t>
        </w:r>
      </w:hyperlink>
    </w:p>
    <w:p w14:paraId="1E4C4F80" w14:textId="77777777" w:rsidR="000F32DF" w:rsidRDefault="000F32DF" w:rsidP="000F32DF">
      <w:pPr>
        <w:rPr>
          <w:u w:val="single"/>
        </w:rPr>
      </w:pPr>
    </w:p>
    <w:p w14:paraId="7092A9F4" w14:textId="77777777" w:rsidR="000F32DF" w:rsidRPr="00272047" w:rsidRDefault="00473486" w:rsidP="000F32DF">
      <w:pPr>
        <w:rPr>
          <w:u w:val="single"/>
        </w:rPr>
      </w:pPr>
      <w:hyperlink r:id="rId10" w:history="1">
        <w:r w:rsidR="000F32DF" w:rsidRPr="00272047">
          <w:rPr>
            <w:rStyle w:val="Hyperlink"/>
          </w:rPr>
          <w:t>http://www.fda.gov/downloads/MedicalDevices/DeviceRegulationandGuidance/GuidanceDocuments/ucm071455.pdf</w:t>
        </w:r>
      </w:hyperlink>
    </w:p>
    <w:sectPr w:rsidR="000F32DF" w:rsidRPr="002720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16A30" w14:textId="77777777" w:rsidR="00473486" w:rsidRDefault="00473486" w:rsidP="0082237F">
      <w:r>
        <w:separator/>
      </w:r>
    </w:p>
  </w:endnote>
  <w:endnote w:type="continuationSeparator" w:id="0">
    <w:p w14:paraId="47AA7768" w14:textId="77777777" w:rsidR="00473486" w:rsidRDefault="00473486" w:rsidP="0082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26872"/>
      <w:docPartObj>
        <w:docPartGallery w:val="Page Numbers (Bottom of Page)"/>
        <w:docPartUnique/>
      </w:docPartObj>
    </w:sdtPr>
    <w:sdtEndPr/>
    <w:sdtContent>
      <w:sdt>
        <w:sdtPr>
          <w:id w:val="-1769616900"/>
          <w:docPartObj>
            <w:docPartGallery w:val="Page Numbers (Top of Page)"/>
            <w:docPartUnique/>
          </w:docPartObj>
        </w:sdtPr>
        <w:sdtEndPr/>
        <w:sdtContent>
          <w:p w14:paraId="250EE306" w14:textId="793529C7" w:rsidR="005C1279" w:rsidRDefault="00086067" w:rsidP="00086067">
            <w:pPr>
              <w:pStyle w:val="Footer"/>
            </w:pPr>
            <w:r>
              <w:t>5/19/2016   DUHS IRB + Regulatory Affairs</w:t>
            </w:r>
            <w:r>
              <w:tab/>
            </w:r>
            <w:r>
              <w:tab/>
            </w:r>
            <w:r w:rsidR="005C1279">
              <w:t xml:space="preserve">Page </w:t>
            </w:r>
            <w:r w:rsidR="005C1279">
              <w:rPr>
                <w:b/>
                <w:bCs/>
              </w:rPr>
              <w:fldChar w:fldCharType="begin"/>
            </w:r>
            <w:r w:rsidR="005C1279">
              <w:rPr>
                <w:b/>
                <w:bCs/>
              </w:rPr>
              <w:instrText xml:space="preserve"> PAGE </w:instrText>
            </w:r>
            <w:r w:rsidR="005C1279">
              <w:rPr>
                <w:b/>
                <w:bCs/>
              </w:rPr>
              <w:fldChar w:fldCharType="separate"/>
            </w:r>
            <w:r w:rsidR="00FB413F">
              <w:rPr>
                <w:b/>
                <w:bCs/>
                <w:noProof/>
              </w:rPr>
              <w:t>2</w:t>
            </w:r>
            <w:r w:rsidR="005C1279">
              <w:rPr>
                <w:b/>
                <w:bCs/>
              </w:rPr>
              <w:fldChar w:fldCharType="end"/>
            </w:r>
            <w:r w:rsidR="005C1279">
              <w:t xml:space="preserve"> of </w:t>
            </w:r>
            <w:r w:rsidR="005C1279">
              <w:rPr>
                <w:b/>
                <w:bCs/>
              </w:rPr>
              <w:fldChar w:fldCharType="begin"/>
            </w:r>
            <w:r w:rsidR="005C1279">
              <w:rPr>
                <w:b/>
                <w:bCs/>
              </w:rPr>
              <w:instrText xml:space="preserve"> NUMPAGES  </w:instrText>
            </w:r>
            <w:r w:rsidR="005C1279">
              <w:rPr>
                <w:b/>
                <w:bCs/>
              </w:rPr>
              <w:fldChar w:fldCharType="separate"/>
            </w:r>
            <w:r w:rsidR="00FB413F">
              <w:rPr>
                <w:b/>
                <w:bCs/>
                <w:noProof/>
              </w:rPr>
              <w:t>5</w:t>
            </w:r>
            <w:r w:rsidR="005C1279">
              <w:rPr>
                <w:b/>
                <w:bCs/>
              </w:rPr>
              <w:fldChar w:fldCharType="end"/>
            </w:r>
          </w:p>
        </w:sdtContent>
      </w:sdt>
    </w:sdtContent>
  </w:sdt>
  <w:p w14:paraId="37B1E27A" w14:textId="77777777" w:rsidR="005C1279" w:rsidRDefault="005C1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D802" w14:textId="77777777" w:rsidR="00473486" w:rsidRDefault="00473486" w:rsidP="0082237F">
      <w:r>
        <w:separator/>
      </w:r>
    </w:p>
  </w:footnote>
  <w:footnote w:type="continuationSeparator" w:id="0">
    <w:p w14:paraId="4C263DFD" w14:textId="77777777" w:rsidR="00473486" w:rsidRDefault="00473486" w:rsidP="00822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876"/>
    <w:multiLevelType w:val="hybridMultilevel"/>
    <w:tmpl w:val="374A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D3BEB"/>
    <w:multiLevelType w:val="hybridMultilevel"/>
    <w:tmpl w:val="6EB22F1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8470F"/>
    <w:multiLevelType w:val="multilevel"/>
    <w:tmpl w:val="781A1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8754B"/>
    <w:multiLevelType w:val="hybridMultilevel"/>
    <w:tmpl w:val="01C897B0"/>
    <w:lvl w:ilvl="0" w:tplc="2C2AA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251C9"/>
    <w:multiLevelType w:val="hybridMultilevel"/>
    <w:tmpl w:val="670E2426"/>
    <w:lvl w:ilvl="0" w:tplc="2C2AA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A66BA"/>
    <w:multiLevelType w:val="hybridMultilevel"/>
    <w:tmpl w:val="DBEC747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20654"/>
    <w:multiLevelType w:val="hybridMultilevel"/>
    <w:tmpl w:val="C95C8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BF7582"/>
    <w:multiLevelType w:val="hybridMultilevel"/>
    <w:tmpl w:val="36408806"/>
    <w:lvl w:ilvl="0" w:tplc="C83087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50F53"/>
    <w:multiLevelType w:val="hybridMultilevel"/>
    <w:tmpl w:val="0D7A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53534"/>
    <w:multiLevelType w:val="hybridMultilevel"/>
    <w:tmpl w:val="62EA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547AD"/>
    <w:multiLevelType w:val="hybridMultilevel"/>
    <w:tmpl w:val="3D5A3714"/>
    <w:lvl w:ilvl="0" w:tplc="2C2AA574">
      <w:start w:val="1"/>
      <w:numFmt w:val="decimal"/>
      <w:lvlText w:val="(%1)"/>
      <w:lvlJc w:val="left"/>
      <w:pPr>
        <w:ind w:left="720" w:hanging="360"/>
      </w:pPr>
      <w:rPr>
        <w:rFonts w:hint="default"/>
      </w:rPr>
    </w:lvl>
    <w:lvl w:ilvl="1" w:tplc="444814F6">
      <w:start w:val="1"/>
      <w:numFmt w:val="lowerLetter"/>
      <w:lvlText w:val="%2."/>
      <w:lvlJc w:val="left"/>
      <w:pPr>
        <w:ind w:left="786"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4032E"/>
    <w:multiLevelType w:val="hybridMultilevel"/>
    <w:tmpl w:val="CF36BFE4"/>
    <w:lvl w:ilvl="0" w:tplc="2DAED8D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A1166"/>
    <w:multiLevelType w:val="hybridMultilevel"/>
    <w:tmpl w:val="6864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D27DF"/>
    <w:multiLevelType w:val="hybridMultilevel"/>
    <w:tmpl w:val="9DC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46B95"/>
    <w:multiLevelType w:val="hybridMultilevel"/>
    <w:tmpl w:val="5DE0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E22DA"/>
    <w:multiLevelType w:val="hybridMultilevel"/>
    <w:tmpl w:val="960CB5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438BD"/>
    <w:multiLevelType w:val="hybridMultilevel"/>
    <w:tmpl w:val="BEB47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77539"/>
    <w:multiLevelType w:val="multilevel"/>
    <w:tmpl w:val="AB78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373406"/>
    <w:multiLevelType w:val="hybridMultilevel"/>
    <w:tmpl w:val="042A2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9458F3"/>
    <w:multiLevelType w:val="hybridMultilevel"/>
    <w:tmpl w:val="66AE8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6B128F6"/>
    <w:multiLevelType w:val="hybridMultilevel"/>
    <w:tmpl w:val="5D58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070B3"/>
    <w:multiLevelType w:val="hybridMultilevel"/>
    <w:tmpl w:val="AE52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10"/>
  </w:num>
  <w:num w:numId="5">
    <w:abstractNumId w:val="3"/>
  </w:num>
  <w:num w:numId="6">
    <w:abstractNumId w:val="20"/>
  </w:num>
  <w:num w:numId="7">
    <w:abstractNumId w:val="7"/>
  </w:num>
  <w:num w:numId="8">
    <w:abstractNumId w:val="6"/>
  </w:num>
  <w:num w:numId="9">
    <w:abstractNumId w:val="0"/>
  </w:num>
  <w:num w:numId="10">
    <w:abstractNumId w:val="21"/>
  </w:num>
  <w:num w:numId="11">
    <w:abstractNumId w:val="11"/>
  </w:num>
  <w:num w:numId="12">
    <w:abstractNumId w:val="18"/>
  </w:num>
  <w:num w:numId="13">
    <w:abstractNumId w:val="16"/>
  </w:num>
  <w:num w:numId="14">
    <w:abstractNumId w:val="5"/>
  </w:num>
  <w:num w:numId="15">
    <w:abstractNumId w:val="15"/>
  </w:num>
  <w:num w:numId="16">
    <w:abstractNumId w:val="9"/>
  </w:num>
  <w:num w:numId="17">
    <w:abstractNumId w:val="17"/>
  </w:num>
  <w:num w:numId="18">
    <w:abstractNumId w:val="2"/>
  </w:num>
  <w:num w:numId="19">
    <w:abstractNumId w:val="8"/>
  </w:num>
  <w:num w:numId="20">
    <w:abstractNumId w:val="1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64"/>
    <w:rsid w:val="00044C83"/>
    <w:rsid w:val="0005786C"/>
    <w:rsid w:val="000709D3"/>
    <w:rsid w:val="00086067"/>
    <w:rsid w:val="000D768F"/>
    <w:rsid w:val="000F32DF"/>
    <w:rsid w:val="00114D93"/>
    <w:rsid w:val="001171BA"/>
    <w:rsid w:val="00123984"/>
    <w:rsid w:val="001274E1"/>
    <w:rsid w:val="001511F5"/>
    <w:rsid w:val="001836A9"/>
    <w:rsid w:val="00195543"/>
    <w:rsid w:val="001A272F"/>
    <w:rsid w:val="001C1BFF"/>
    <w:rsid w:val="001C30A9"/>
    <w:rsid w:val="001C6FDE"/>
    <w:rsid w:val="001F04E8"/>
    <w:rsid w:val="001F74E9"/>
    <w:rsid w:val="002223A8"/>
    <w:rsid w:val="0022669D"/>
    <w:rsid w:val="0023174F"/>
    <w:rsid w:val="00262E13"/>
    <w:rsid w:val="002707E2"/>
    <w:rsid w:val="00271054"/>
    <w:rsid w:val="00272047"/>
    <w:rsid w:val="00293056"/>
    <w:rsid w:val="00297016"/>
    <w:rsid w:val="002A11C6"/>
    <w:rsid w:val="002C11D0"/>
    <w:rsid w:val="002C1B2D"/>
    <w:rsid w:val="002C7005"/>
    <w:rsid w:val="002E2AEB"/>
    <w:rsid w:val="002E592C"/>
    <w:rsid w:val="003079F3"/>
    <w:rsid w:val="00334271"/>
    <w:rsid w:val="00340884"/>
    <w:rsid w:val="00342CF6"/>
    <w:rsid w:val="003443D4"/>
    <w:rsid w:val="00345D05"/>
    <w:rsid w:val="00356303"/>
    <w:rsid w:val="003A4A06"/>
    <w:rsid w:val="003B38C8"/>
    <w:rsid w:val="003D1FBB"/>
    <w:rsid w:val="0040058B"/>
    <w:rsid w:val="00400F10"/>
    <w:rsid w:val="00400F34"/>
    <w:rsid w:val="00437107"/>
    <w:rsid w:val="004432D0"/>
    <w:rsid w:val="004610AC"/>
    <w:rsid w:val="00463411"/>
    <w:rsid w:val="00471417"/>
    <w:rsid w:val="00473486"/>
    <w:rsid w:val="00485E90"/>
    <w:rsid w:val="004A57C1"/>
    <w:rsid w:val="004A665C"/>
    <w:rsid w:val="004C2593"/>
    <w:rsid w:val="004C576D"/>
    <w:rsid w:val="004C6B72"/>
    <w:rsid w:val="004E0E14"/>
    <w:rsid w:val="00501704"/>
    <w:rsid w:val="00506642"/>
    <w:rsid w:val="00511807"/>
    <w:rsid w:val="00531CD3"/>
    <w:rsid w:val="005725FC"/>
    <w:rsid w:val="00572BA4"/>
    <w:rsid w:val="00573F42"/>
    <w:rsid w:val="00587E2D"/>
    <w:rsid w:val="005B176D"/>
    <w:rsid w:val="005C03E6"/>
    <w:rsid w:val="005C1279"/>
    <w:rsid w:val="005D0B6F"/>
    <w:rsid w:val="005D3033"/>
    <w:rsid w:val="005E0D3B"/>
    <w:rsid w:val="005F1FA7"/>
    <w:rsid w:val="005F608A"/>
    <w:rsid w:val="00600E88"/>
    <w:rsid w:val="00612701"/>
    <w:rsid w:val="00614BC2"/>
    <w:rsid w:val="00616094"/>
    <w:rsid w:val="00637BC4"/>
    <w:rsid w:val="0066030D"/>
    <w:rsid w:val="006611D3"/>
    <w:rsid w:val="006619E3"/>
    <w:rsid w:val="00661E69"/>
    <w:rsid w:val="00691EB5"/>
    <w:rsid w:val="006E1BE0"/>
    <w:rsid w:val="006F026F"/>
    <w:rsid w:val="00716F51"/>
    <w:rsid w:val="0072187B"/>
    <w:rsid w:val="0072521D"/>
    <w:rsid w:val="00725AF3"/>
    <w:rsid w:val="007404E6"/>
    <w:rsid w:val="0074116D"/>
    <w:rsid w:val="007419EE"/>
    <w:rsid w:val="00741DDD"/>
    <w:rsid w:val="0074264E"/>
    <w:rsid w:val="007649BB"/>
    <w:rsid w:val="0076533A"/>
    <w:rsid w:val="007703DB"/>
    <w:rsid w:val="0078303D"/>
    <w:rsid w:val="00786279"/>
    <w:rsid w:val="00796D98"/>
    <w:rsid w:val="007E04B5"/>
    <w:rsid w:val="0080147A"/>
    <w:rsid w:val="0080193B"/>
    <w:rsid w:val="0082237F"/>
    <w:rsid w:val="0084014B"/>
    <w:rsid w:val="008427EB"/>
    <w:rsid w:val="00885949"/>
    <w:rsid w:val="008A4F70"/>
    <w:rsid w:val="008B3308"/>
    <w:rsid w:val="008C7896"/>
    <w:rsid w:val="00911077"/>
    <w:rsid w:val="00923B69"/>
    <w:rsid w:val="00925C87"/>
    <w:rsid w:val="00930967"/>
    <w:rsid w:val="00930E2B"/>
    <w:rsid w:val="00944D55"/>
    <w:rsid w:val="009467E6"/>
    <w:rsid w:val="00951EA1"/>
    <w:rsid w:val="00972870"/>
    <w:rsid w:val="00981219"/>
    <w:rsid w:val="00983D11"/>
    <w:rsid w:val="009973B2"/>
    <w:rsid w:val="009A1164"/>
    <w:rsid w:val="009B008B"/>
    <w:rsid w:val="009C0C8C"/>
    <w:rsid w:val="00A13905"/>
    <w:rsid w:val="00A206D7"/>
    <w:rsid w:val="00A2357F"/>
    <w:rsid w:val="00A406ED"/>
    <w:rsid w:val="00A532AC"/>
    <w:rsid w:val="00A65E3D"/>
    <w:rsid w:val="00A66A26"/>
    <w:rsid w:val="00A73071"/>
    <w:rsid w:val="00A93780"/>
    <w:rsid w:val="00AA1DA8"/>
    <w:rsid w:val="00AA5D73"/>
    <w:rsid w:val="00AD0553"/>
    <w:rsid w:val="00AF623A"/>
    <w:rsid w:val="00B044A9"/>
    <w:rsid w:val="00B12B0F"/>
    <w:rsid w:val="00B14BDC"/>
    <w:rsid w:val="00B17E8B"/>
    <w:rsid w:val="00B20481"/>
    <w:rsid w:val="00B75528"/>
    <w:rsid w:val="00BB5DF8"/>
    <w:rsid w:val="00BD0054"/>
    <w:rsid w:val="00BD07F8"/>
    <w:rsid w:val="00BD1029"/>
    <w:rsid w:val="00BD491B"/>
    <w:rsid w:val="00C03446"/>
    <w:rsid w:val="00C0357A"/>
    <w:rsid w:val="00C06BE9"/>
    <w:rsid w:val="00C56074"/>
    <w:rsid w:val="00C637A2"/>
    <w:rsid w:val="00C6718E"/>
    <w:rsid w:val="00C83155"/>
    <w:rsid w:val="00CB1C36"/>
    <w:rsid w:val="00CB5F5A"/>
    <w:rsid w:val="00CC1C48"/>
    <w:rsid w:val="00CC66C6"/>
    <w:rsid w:val="00CE2C2E"/>
    <w:rsid w:val="00CE364B"/>
    <w:rsid w:val="00CE65F5"/>
    <w:rsid w:val="00CE7340"/>
    <w:rsid w:val="00D01119"/>
    <w:rsid w:val="00D10942"/>
    <w:rsid w:val="00D276C2"/>
    <w:rsid w:val="00D35E0D"/>
    <w:rsid w:val="00D36EE4"/>
    <w:rsid w:val="00D561F5"/>
    <w:rsid w:val="00D62DFD"/>
    <w:rsid w:val="00D66DBC"/>
    <w:rsid w:val="00D75966"/>
    <w:rsid w:val="00DA7C56"/>
    <w:rsid w:val="00DB195B"/>
    <w:rsid w:val="00DB32FC"/>
    <w:rsid w:val="00DD4464"/>
    <w:rsid w:val="00DE562B"/>
    <w:rsid w:val="00DF001E"/>
    <w:rsid w:val="00E1132A"/>
    <w:rsid w:val="00E306B7"/>
    <w:rsid w:val="00E424D5"/>
    <w:rsid w:val="00E52D55"/>
    <w:rsid w:val="00E63938"/>
    <w:rsid w:val="00E8011E"/>
    <w:rsid w:val="00E82FDD"/>
    <w:rsid w:val="00E94181"/>
    <w:rsid w:val="00EB131A"/>
    <w:rsid w:val="00EB5772"/>
    <w:rsid w:val="00ED460B"/>
    <w:rsid w:val="00EE5646"/>
    <w:rsid w:val="00EE5967"/>
    <w:rsid w:val="00EF2E19"/>
    <w:rsid w:val="00F006E0"/>
    <w:rsid w:val="00F10956"/>
    <w:rsid w:val="00F1418B"/>
    <w:rsid w:val="00F45A85"/>
    <w:rsid w:val="00F50D7C"/>
    <w:rsid w:val="00F56B6C"/>
    <w:rsid w:val="00F61E6A"/>
    <w:rsid w:val="00F63E07"/>
    <w:rsid w:val="00F80AC0"/>
    <w:rsid w:val="00F93FD8"/>
    <w:rsid w:val="00FA3CCF"/>
    <w:rsid w:val="00FA401B"/>
    <w:rsid w:val="00FB413F"/>
    <w:rsid w:val="00FB6E86"/>
    <w:rsid w:val="00FC249E"/>
    <w:rsid w:val="00FC62E7"/>
    <w:rsid w:val="00FC70B4"/>
    <w:rsid w:val="00FD5C76"/>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F5646"/>
  <w15:docId w15:val="{30F4A813-F9F4-496E-A64C-BA7B158B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4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64"/>
    <w:pPr>
      <w:ind w:left="720"/>
      <w:contextualSpacing/>
    </w:pPr>
  </w:style>
  <w:style w:type="character" w:styleId="CommentReference">
    <w:name w:val="annotation reference"/>
    <w:basedOn w:val="DefaultParagraphFont"/>
    <w:uiPriority w:val="99"/>
    <w:semiHidden/>
    <w:unhideWhenUsed/>
    <w:rsid w:val="00F80AC0"/>
    <w:rPr>
      <w:sz w:val="16"/>
      <w:szCs w:val="16"/>
    </w:rPr>
  </w:style>
  <w:style w:type="paragraph" w:styleId="CommentText">
    <w:name w:val="annotation text"/>
    <w:basedOn w:val="Normal"/>
    <w:link w:val="CommentTextChar"/>
    <w:uiPriority w:val="99"/>
    <w:semiHidden/>
    <w:unhideWhenUsed/>
    <w:rsid w:val="00F80AC0"/>
    <w:rPr>
      <w:sz w:val="20"/>
      <w:szCs w:val="20"/>
    </w:rPr>
  </w:style>
  <w:style w:type="character" w:customStyle="1" w:styleId="CommentTextChar">
    <w:name w:val="Comment Text Char"/>
    <w:basedOn w:val="DefaultParagraphFont"/>
    <w:link w:val="CommentText"/>
    <w:uiPriority w:val="99"/>
    <w:semiHidden/>
    <w:rsid w:val="00F80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AC0"/>
    <w:rPr>
      <w:b/>
      <w:bCs/>
    </w:rPr>
  </w:style>
  <w:style w:type="character" w:customStyle="1" w:styleId="CommentSubjectChar">
    <w:name w:val="Comment Subject Char"/>
    <w:basedOn w:val="CommentTextChar"/>
    <w:link w:val="CommentSubject"/>
    <w:uiPriority w:val="99"/>
    <w:semiHidden/>
    <w:rsid w:val="00F80A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0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C0"/>
    <w:rPr>
      <w:rFonts w:ascii="Segoe UI" w:eastAsia="Times New Roman" w:hAnsi="Segoe UI" w:cs="Segoe UI"/>
      <w:sz w:val="18"/>
      <w:szCs w:val="18"/>
    </w:rPr>
  </w:style>
  <w:style w:type="paragraph" w:styleId="Header">
    <w:name w:val="header"/>
    <w:basedOn w:val="Normal"/>
    <w:link w:val="HeaderChar"/>
    <w:uiPriority w:val="99"/>
    <w:unhideWhenUsed/>
    <w:rsid w:val="0082237F"/>
    <w:pPr>
      <w:tabs>
        <w:tab w:val="center" w:pos="4680"/>
        <w:tab w:val="right" w:pos="9360"/>
      </w:tabs>
    </w:pPr>
  </w:style>
  <w:style w:type="character" w:customStyle="1" w:styleId="HeaderChar">
    <w:name w:val="Header Char"/>
    <w:basedOn w:val="DefaultParagraphFont"/>
    <w:link w:val="Header"/>
    <w:uiPriority w:val="99"/>
    <w:rsid w:val="008223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37F"/>
    <w:pPr>
      <w:tabs>
        <w:tab w:val="center" w:pos="4680"/>
        <w:tab w:val="right" w:pos="9360"/>
      </w:tabs>
    </w:pPr>
  </w:style>
  <w:style w:type="character" w:customStyle="1" w:styleId="FooterChar">
    <w:name w:val="Footer Char"/>
    <w:basedOn w:val="DefaultParagraphFont"/>
    <w:link w:val="Footer"/>
    <w:uiPriority w:val="99"/>
    <w:rsid w:val="0082237F"/>
    <w:rPr>
      <w:rFonts w:ascii="Times New Roman" w:eastAsia="Times New Roman" w:hAnsi="Times New Roman" w:cs="Times New Roman"/>
      <w:sz w:val="24"/>
      <w:szCs w:val="24"/>
    </w:rPr>
  </w:style>
  <w:style w:type="paragraph" w:styleId="NormalWeb">
    <w:name w:val="Normal (Web)"/>
    <w:basedOn w:val="Normal"/>
    <w:uiPriority w:val="99"/>
    <w:unhideWhenUsed/>
    <w:rsid w:val="00C0357A"/>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272047"/>
    <w:rPr>
      <w:color w:val="0563C1" w:themeColor="hyperlink"/>
      <w:u w:val="single"/>
    </w:rPr>
  </w:style>
  <w:style w:type="character" w:styleId="FollowedHyperlink">
    <w:name w:val="FollowedHyperlink"/>
    <w:basedOn w:val="DefaultParagraphFont"/>
    <w:uiPriority w:val="99"/>
    <w:semiHidden/>
    <w:unhideWhenUsed/>
    <w:rsid w:val="00272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0140">
      <w:bodyDiv w:val="1"/>
      <w:marLeft w:val="0"/>
      <w:marRight w:val="0"/>
      <w:marTop w:val="0"/>
      <w:marBottom w:val="0"/>
      <w:divBdr>
        <w:top w:val="none" w:sz="0" w:space="0" w:color="auto"/>
        <w:left w:val="none" w:sz="0" w:space="0" w:color="auto"/>
        <w:bottom w:val="none" w:sz="0" w:space="0" w:color="auto"/>
        <w:right w:val="none" w:sz="0" w:space="0" w:color="auto"/>
      </w:divBdr>
      <w:divsChild>
        <w:div w:id="1708407520">
          <w:marLeft w:val="0"/>
          <w:marRight w:val="0"/>
          <w:marTop w:val="0"/>
          <w:marBottom w:val="0"/>
          <w:divBdr>
            <w:top w:val="none" w:sz="0" w:space="0" w:color="auto"/>
            <w:left w:val="none" w:sz="0" w:space="0" w:color="auto"/>
            <w:bottom w:val="none" w:sz="0" w:space="0" w:color="auto"/>
            <w:right w:val="none" w:sz="0" w:space="0" w:color="auto"/>
          </w:divBdr>
          <w:divsChild>
            <w:div w:id="393814665">
              <w:marLeft w:val="0"/>
              <w:marRight w:val="0"/>
              <w:marTop w:val="0"/>
              <w:marBottom w:val="0"/>
              <w:divBdr>
                <w:top w:val="none" w:sz="0" w:space="0" w:color="auto"/>
                <w:left w:val="none" w:sz="0" w:space="0" w:color="auto"/>
                <w:bottom w:val="none" w:sz="0" w:space="0" w:color="auto"/>
                <w:right w:val="none" w:sz="0" w:space="0" w:color="auto"/>
              </w:divBdr>
              <w:divsChild>
                <w:div w:id="17525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3295">
      <w:bodyDiv w:val="1"/>
      <w:marLeft w:val="0"/>
      <w:marRight w:val="0"/>
      <w:marTop w:val="0"/>
      <w:marBottom w:val="0"/>
      <w:divBdr>
        <w:top w:val="none" w:sz="0" w:space="0" w:color="auto"/>
        <w:left w:val="none" w:sz="0" w:space="0" w:color="auto"/>
        <w:bottom w:val="none" w:sz="0" w:space="0" w:color="auto"/>
        <w:right w:val="none" w:sz="0" w:space="0" w:color="auto"/>
      </w:divBdr>
      <w:divsChild>
        <w:div w:id="289670139">
          <w:marLeft w:val="0"/>
          <w:marRight w:val="0"/>
          <w:marTop w:val="0"/>
          <w:marBottom w:val="0"/>
          <w:divBdr>
            <w:top w:val="none" w:sz="0" w:space="0" w:color="auto"/>
            <w:left w:val="none" w:sz="0" w:space="0" w:color="auto"/>
            <w:bottom w:val="none" w:sz="0" w:space="0" w:color="auto"/>
            <w:right w:val="none" w:sz="0" w:space="0" w:color="auto"/>
          </w:divBdr>
          <w:divsChild>
            <w:div w:id="149709791">
              <w:marLeft w:val="0"/>
              <w:marRight w:val="0"/>
              <w:marTop w:val="0"/>
              <w:marBottom w:val="0"/>
              <w:divBdr>
                <w:top w:val="none" w:sz="0" w:space="0" w:color="auto"/>
                <w:left w:val="none" w:sz="0" w:space="0" w:color="auto"/>
                <w:bottom w:val="none" w:sz="0" w:space="0" w:color="auto"/>
                <w:right w:val="none" w:sz="0" w:space="0" w:color="auto"/>
              </w:divBdr>
              <w:divsChild>
                <w:div w:id="20236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6509">
      <w:bodyDiv w:val="1"/>
      <w:marLeft w:val="0"/>
      <w:marRight w:val="0"/>
      <w:marTop w:val="0"/>
      <w:marBottom w:val="0"/>
      <w:divBdr>
        <w:top w:val="none" w:sz="0" w:space="0" w:color="auto"/>
        <w:left w:val="none" w:sz="0" w:space="0" w:color="auto"/>
        <w:bottom w:val="none" w:sz="0" w:space="0" w:color="auto"/>
        <w:right w:val="none" w:sz="0" w:space="0" w:color="auto"/>
      </w:divBdr>
    </w:div>
    <w:div w:id="2078899735">
      <w:bodyDiv w:val="1"/>
      <w:marLeft w:val="0"/>
      <w:marRight w:val="0"/>
      <w:marTop w:val="0"/>
      <w:marBottom w:val="0"/>
      <w:divBdr>
        <w:top w:val="none" w:sz="0" w:space="0" w:color="auto"/>
        <w:left w:val="none" w:sz="0" w:space="0" w:color="auto"/>
        <w:bottom w:val="none" w:sz="0" w:space="0" w:color="auto"/>
        <w:right w:val="none" w:sz="0" w:space="0" w:color="auto"/>
      </w:divBdr>
      <w:divsChild>
        <w:div w:id="1886402754">
          <w:marLeft w:val="0"/>
          <w:marRight w:val="0"/>
          <w:marTop w:val="0"/>
          <w:marBottom w:val="0"/>
          <w:divBdr>
            <w:top w:val="none" w:sz="0" w:space="0" w:color="auto"/>
            <w:left w:val="none" w:sz="0" w:space="0" w:color="auto"/>
            <w:bottom w:val="none" w:sz="0" w:space="0" w:color="auto"/>
            <w:right w:val="none" w:sz="0" w:space="0" w:color="auto"/>
          </w:divBdr>
          <w:divsChild>
            <w:div w:id="1769618876">
              <w:marLeft w:val="0"/>
              <w:marRight w:val="0"/>
              <w:marTop w:val="0"/>
              <w:marBottom w:val="0"/>
              <w:divBdr>
                <w:top w:val="none" w:sz="0" w:space="0" w:color="auto"/>
                <w:left w:val="none" w:sz="0" w:space="0" w:color="auto"/>
                <w:bottom w:val="none" w:sz="0" w:space="0" w:color="auto"/>
                <w:right w:val="none" w:sz="0" w:space="0" w:color="auto"/>
              </w:divBdr>
              <w:divsChild>
                <w:div w:id="19199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RegulatoryInformation/Guidances/UCM12706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da.gov/downloads/RegulatoryInformation/Guidances/UCM1264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da.gov/downloads/MedicalDevices/DeviceRegulationandGuidance/GuidanceDocuments/ucm071455.pdf" TargetMode="External"/><Relationship Id="rId4" Type="http://schemas.openxmlformats.org/officeDocument/2006/relationships/webSettings" Target="webSettings.xml"/><Relationship Id="rId9" Type="http://schemas.openxmlformats.org/officeDocument/2006/relationships/hyperlink" Target="http://www.fda.gov/downloads/MedicalDevices/DeviceRegulationandGuidance/GuidanceDocuments/UCM0712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Hobbs, Ph.D.</dc:creator>
  <cp:lastModifiedBy>Minna Pak</cp:lastModifiedBy>
  <cp:revision>2</cp:revision>
  <dcterms:created xsi:type="dcterms:W3CDTF">2022-04-26T02:39:00Z</dcterms:created>
  <dcterms:modified xsi:type="dcterms:W3CDTF">2022-04-26T02:39:00Z</dcterms:modified>
</cp:coreProperties>
</file>